
<file path=[Content_Types].xml><?xml version="1.0" encoding="utf-8"?>
<Types xmlns="http://schemas.openxmlformats.org/package/2006/content-types">
  <Default Extension="gif" ContentType="image/gi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EC3C40">
      <w:pPr>
        <w:pStyle w:val="2"/>
        <w:keepNext w:val="0"/>
        <w:keepLines w:val="0"/>
        <w:widowControl/>
        <w:suppressLineNumbers w:val="0"/>
        <w:jc w:val="both"/>
      </w:pPr>
      <w:r>
        <w:rPr>
          <w:rStyle w:val="5"/>
          <w:color w:val="374AAE"/>
          <w:sz w:val="42"/>
          <w:szCs w:val="42"/>
        </w:rPr>
        <w:t>牙科医疗行业痛点及EMC</w:t>
      </w:r>
    </w:p>
    <w:p w14:paraId="3FD100CB">
      <w:pPr>
        <w:pStyle w:val="2"/>
        <w:keepNext w:val="0"/>
        <w:keepLines w:val="0"/>
        <w:widowControl/>
        <w:suppressLineNumbers w:val="0"/>
      </w:pPr>
      <w:r>
        <w:rPr>
          <w:rStyle w:val="5"/>
          <w:color w:val="374AAE"/>
          <w:sz w:val="42"/>
          <w:szCs w:val="42"/>
        </w:rPr>
        <w:t>解决方案</w:t>
      </w:r>
    </w:p>
    <w:p w14:paraId="046ADD1D">
      <w:pPr>
        <w:pStyle w:val="2"/>
        <w:keepNext w:val="0"/>
        <w:keepLines w:val="0"/>
        <w:widowControl/>
        <w:suppressLineNumbers w:val="0"/>
        <w:jc w:val="center"/>
      </w:pPr>
      <w:bookmarkStart w:id="0" w:name="_GoBack"/>
      <w:r>
        <w:rPr>
          <w:vertAlign w:val="baseline"/>
        </w:rPr>
        <w:drawing>
          <wp:inline distT="0" distB="0" distL="114300" distR="114300">
            <wp:extent cx="247650" cy="371475"/>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247650" cy="371475"/>
                    </a:xfrm>
                    <a:prstGeom prst="rect">
                      <a:avLst/>
                    </a:prstGeom>
                    <a:noFill/>
                    <a:ln w="9525">
                      <a:noFill/>
                    </a:ln>
                  </pic:spPr>
                </pic:pic>
              </a:graphicData>
            </a:graphic>
          </wp:inline>
        </w:drawing>
      </w:r>
    </w:p>
    <w:bookmarkEnd w:id="0"/>
    <w:p w14:paraId="08E2E5E7">
      <w:pPr>
        <w:keepNext w:val="0"/>
        <w:keepLines w:val="0"/>
        <w:widowControl/>
        <w:suppressLineNumbers w:val="0"/>
        <w:jc w:val="left"/>
      </w:pPr>
      <w:r>
        <w:rPr>
          <w:rStyle w:val="5"/>
          <w:rFonts w:ascii="Arial" w:hAnsi="Arial" w:eastAsia="宋体" w:cs="Arial"/>
          <w:kern w:val="0"/>
          <w:sz w:val="27"/>
          <w:szCs w:val="27"/>
          <w:lang w:val="en-US" w:eastAsia="zh-CN" w:bidi="ar"/>
        </w:rPr>
        <w:t>一.牙科医疗设备标准解读</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vertAlign w:val="baseline"/>
          <w:lang w:val="en-US" w:eastAsia="zh-CN" w:bidi="ar"/>
        </w:rPr>
        <w:drawing>
          <wp:inline distT="0" distB="0" distL="114300" distR="114300">
            <wp:extent cx="4638675" cy="260032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5"/>
                    <a:stretch>
                      <a:fillRect/>
                    </a:stretch>
                  </pic:blipFill>
                  <pic:spPr>
                    <a:xfrm>
                      <a:off x="0" y="0"/>
                      <a:ext cx="4638675" cy="2600325"/>
                    </a:xfrm>
                    <a:prstGeom prst="rect">
                      <a:avLst/>
                    </a:prstGeom>
                    <a:noFill/>
                    <a:ln w="9525">
                      <a:noFill/>
                    </a:ln>
                  </pic:spPr>
                </pic:pic>
              </a:graphicData>
            </a:graphic>
          </wp:inline>
        </w:drawing>
      </w:r>
    </w:p>
    <w:p w14:paraId="5EE8DA3B">
      <w:pPr>
        <w:pStyle w:val="2"/>
        <w:keepNext w:val="0"/>
        <w:keepLines w:val="0"/>
        <w:widowControl/>
        <w:suppressLineNumbers w:val="0"/>
      </w:pPr>
      <w:r>
        <w:rPr>
          <w:color w:val="374AAE"/>
          <w:spacing w:val="23"/>
          <w:sz w:val="24"/>
          <w:szCs w:val="24"/>
        </w:rPr>
        <w:t>国际标准概览</w:t>
      </w:r>
    </w:p>
    <w:p w14:paraId="792A1DD9">
      <w:pPr>
        <w:pStyle w:val="2"/>
        <w:keepNext w:val="0"/>
        <w:keepLines w:val="0"/>
        <w:widowControl/>
        <w:suppressLineNumbers w:val="0"/>
        <w:spacing w:line="315" w:lineRule="atLeast"/>
        <w:jc w:val="both"/>
      </w:pPr>
      <w:r>
        <w:rPr>
          <w:rFonts w:hint="default" w:ascii="Arial" w:hAnsi="Arial" w:cs="Arial"/>
          <w:spacing w:val="15"/>
        </w:rPr>
        <w:t>1.国际标准IEC 60601-1-2:2015 ，着重规定了医用电气设备基本安全和基本性能的电磁兼容性（EMC）。其中医疗设备对漏电流、抗干扰能力要求极严，尤其是生命支持类设备，如辐射发射在特定频段需额外降低 3-10dB；测试中设备需模拟临床使用状态，不能因干扰中断功能；电源输入端需采用医用级滤波器，满足 2×Un+1000V 的耐压要求；信号线使用低容值 TVS 管避免信号失真。静电放电（ESD）抗扰度方面，设备在干扰下不得误动作或丢失数据，可采用三级防护（GDT+MOV+TVS）。</w:t>
      </w:r>
    </w:p>
    <w:p w14:paraId="049994AE">
      <w:pPr>
        <w:pStyle w:val="2"/>
        <w:keepNext w:val="0"/>
        <w:keepLines w:val="0"/>
        <w:widowControl/>
        <w:suppressLineNumbers w:val="0"/>
      </w:pPr>
    </w:p>
    <w:p w14:paraId="7AB76063">
      <w:pPr>
        <w:pStyle w:val="2"/>
        <w:keepNext w:val="0"/>
        <w:keepLines w:val="0"/>
        <w:widowControl/>
        <w:suppressLineNumbers w:val="0"/>
        <w:spacing w:line="315" w:lineRule="atLeast"/>
        <w:jc w:val="both"/>
      </w:pPr>
      <w:r>
        <w:rPr>
          <w:rFonts w:hint="default" w:ascii="Arial" w:hAnsi="Arial" w:cs="Arial"/>
          <w:spacing w:val="15"/>
        </w:rPr>
        <w:t>2.国际标准IEC 80601- 2- 60:2019 ，着重规定了牙科设备在基本安全和基本性能方面的特殊要求。在安全结构上，要求设备具备稳固且符合人体工程学的构造，防止使用者意外受伤；易接近的保险开关必须易于操作，能在紧急情况下迅速切断电源。接地措施要严格按照标准执行，确保漏电时电流能安全导入大地；隔离电压、绝缘、电气间隙、爬电距离以及耐压等方面，都有明确的量化指标，保障设备在电气性能上的安全可靠。</w:t>
      </w:r>
    </w:p>
    <w:p w14:paraId="4A6A8060">
      <w:pPr>
        <w:pStyle w:val="2"/>
        <w:keepNext w:val="0"/>
        <w:keepLines w:val="0"/>
        <w:widowControl/>
        <w:suppressLineNumbers w:val="0"/>
      </w:pPr>
      <w:r>
        <w:rPr>
          <w:rFonts w:hint="default" w:ascii="Arial" w:hAnsi="Arial" w:cs="Arial"/>
          <w:color w:val="374AAE"/>
          <w:spacing w:val="15"/>
          <w:sz w:val="24"/>
          <w:szCs w:val="24"/>
        </w:rPr>
        <w:t>国内标准详情</w:t>
      </w:r>
    </w:p>
    <w:p w14:paraId="2BC838F9">
      <w:pPr>
        <w:keepNext w:val="0"/>
        <w:keepLines w:val="0"/>
        <w:widowControl/>
        <w:suppressLineNumbers w:val="0"/>
        <w:jc w:val="left"/>
      </w:pPr>
      <w:r>
        <w:rPr>
          <w:rStyle w:val="5"/>
          <w:rFonts w:ascii="宋体" w:hAnsi="宋体" w:eastAsia="宋体" w:cs="宋体"/>
          <w:kern w:val="0"/>
          <w:sz w:val="24"/>
          <w:szCs w:val="24"/>
          <w:vertAlign w:val="baseline"/>
          <w:lang w:val="en-US" w:eastAsia="zh-CN" w:bidi="ar"/>
        </w:rPr>
        <w:drawing>
          <wp:inline distT="0" distB="0" distL="114300" distR="114300">
            <wp:extent cx="3752850" cy="2247900"/>
            <wp:effectExtent l="0" t="0" r="0" b="0"/>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6"/>
                    <a:stretch>
                      <a:fillRect/>
                    </a:stretch>
                  </pic:blipFill>
                  <pic:spPr>
                    <a:xfrm>
                      <a:off x="0" y="0"/>
                      <a:ext cx="3752850" cy="2247900"/>
                    </a:xfrm>
                    <a:prstGeom prst="rect">
                      <a:avLst/>
                    </a:prstGeom>
                    <a:noFill/>
                    <a:ln w="9525">
                      <a:noFill/>
                    </a:ln>
                  </pic:spPr>
                </pic:pic>
              </a:graphicData>
            </a:graphic>
          </wp:inline>
        </w:drawing>
      </w:r>
    </w:p>
    <w:p w14:paraId="282AD31B">
      <w:pPr>
        <w:pStyle w:val="2"/>
        <w:keepNext w:val="0"/>
        <w:keepLines w:val="0"/>
        <w:widowControl/>
        <w:suppressLineNumbers w:val="0"/>
        <w:spacing w:line="315" w:lineRule="atLeast"/>
        <w:jc w:val="both"/>
      </w:pPr>
      <w:r>
        <w:rPr>
          <w:rFonts w:hint="default" w:ascii="Arial" w:hAnsi="Arial" w:cs="Arial"/>
          <w:spacing w:val="15"/>
        </w:rPr>
        <w:t>国内依据国际标准并结合自身产业特点，形成了完善的标准体系。</w:t>
      </w:r>
    </w:p>
    <w:p w14:paraId="36E4E77A">
      <w:pPr>
        <w:pStyle w:val="2"/>
        <w:keepNext w:val="0"/>
        <w:keepLines w:val="0"/>
        <w:widowControl/>
        <w:suppressLineNumbers w:val="0"/>
        <w:spacing w:line="315" w:lineRule="atLeast"/>
      </w:pPr>
    </w:p>
    <w:p w14:paraId="6F345AE8">
      <w:pPr>
        <w:pStyle w:val="2"/>
        <w:keepNext w:val="0"/>
        <w:keepLines w:val="0"/>
        <w:widowControl/>
        <w:suppressLineNumbers w:val="0"/>
        <w:spacing w:line="315" w:lineRule="atLeast"/>
      </w:pPr>
      <w:r>
        <w:rPr>
          <w:rFonts w:hint="default" w:ascii="Arial" w:hAnsi="Arial" w:cs="Arial"/>
          <w:spacing w:val="15"/>
        </w:rPr>
        <w:t>在医用电气设备电磁兼容方面，采用 YY 9706.102-2021标准，等同采用 IEC 60601-1-2，2023 年 5 月 1 日实施，覆盖传导发射、辐射发射、谐波电流等测试，要求设备在干扰下保持基本性能 ，全方位保障主板的电磁兼容性。</w:t>
      </w:r>
    </w:p>
    <w:p w14:paraId="23AD7A4A">
      <w:pPr>
        <w:pStyle w:val="2"/>
        <w:keepNext w:val="0"/>
        <w:keepLines w:val="0"/>
        <w:widowControl/>
        <w:suppressLineNumbers w:val="0"/>
        <w:spacing w:line="315" w:lineRule="atLeast"/>
      </w:pPr>
    </w:p>
    <w:p w14:paraId="39829CED">
      <w:pPr>
        <w:pStyle w:val="2"/>
        <w:keepNext w:val="0"/>
        <w:keepLines w:val="0"/>
        <w:widowControl/>
        <w:suppressLineNumbers w:val="0"/>
        <w:spacing w:line="315" w:lineRule="atLeast"/>
      </w:pPr>
      <w:r>
        <w:rPr>
          <w:rFonts w:hint="default" w:ascii="Arial" w:hAnsi="Arial" w:cs="Arial"/>
          <w:spacing w:val="15"/>
        </w:rPr>
        <w:t>在牙科设备专用安全方面，采用标准 GB 9706.260-2020，等同采用 IEC 80601-2-60，要求牙科设备使用高导电性屏蔽材料（如铜、铝）提升抗干扰能力。但未单独规定 EMC 测试限值，需结合 YY 9706.102-2021 执行。</w:t>
      </w:r>
    </w:p>
    <w:p w14:paraId="2BD2171E">
      <w:pPr>
        <w:keepNext w:val="0"/>
        <w:keepLines w:val="0"/>
        <w:widowControl/>
        <w:suppressLineNumbers w:val="0"/>
        <w:jc w:val="left"/>
      </w:pPr>
    </w:p>
    <w:p w14:paraId="1DCDDC0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A80FAF4">
      <w:pPr>
        <w:keepNext w:val="0"/>
        <w:keepLines w:val="0"/>
        <w:widowControl/>
        <w:suppressLineNumbers w:val="0"/>
        <w:jc w:val="left"/>
      </w:pPr>
      <w:r>
        <w:rPr>
          <w:rStyle w:val="5"/>
          <w:rFonts w:hint="default" w:ascii="Arial" w:hAnsi="Arial" w:eastAsia="宋体" w:cs="Arial"/>
          <w:kern w:val="0"/>
          <w:sz w:val="27"/>
          <w:szCs w:val="27"/>
          <w:lang w:val="en-US" w:eastAsia="zh-CN" w:bidi="ar"/>
        </w:rPr>
        <w:t>二.EMC电磁兼容测试要求剖析</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vertAlign w:val="baseline"/>
          <w:lang w:val="en-US" w:eastAsia="zh-CN" w:bidi="ar"/>
        </w:rPr>
        <w:drawing>
          <wp:inline distT="0" distB="0" distL="114300" distR="114300">
            <wp:extent cx="4581525" cy="2571750"/>
            <wp:effectExtent l="0" t="0" r="9525" b="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7"/>
                    <a:stretch>
                      <a:fillRect/>
                    </a:stretch>
                  </pic:blipFill>
                  <pic:spPr>
                    <a:xfrm>
                      <a:off x="0" y="0"/>
                      <a:ext cx="4581525" cy="2571750"/>
                    </a:xfrm>
                    <a:prstGeom prst="rect">
                      <a:avLst/>
                    </a:prstGeom>
                    <a:noFill/>
                    <a:ln w="9525">
                      <a:noFill/>
                    </a:ln>
                  </pic:spPr>
                </pic:pic>
              </a:graphicData>
            </a:graphic>
          </wp:inline>
        </w:drawing>
      </w:r>
    </w:p>
    <w:p w14:paraId="2F731DF4">
      <w:pPr>
        <w:pStyle w:val="2"/>
        <w:keepNext w:val="0"/>
        <w:keepLines w:val="0"/>
        <w:widowControl/>
        <w:suppressLineNumbers w:val="0"/>
      </w:pPr>
      <w:r>
        <w:rPr>
          <w:rFonts w:hint="default" w:ascii="Arial" w:hAnsi="Arial" w:cs="Arial"/>
          <w:color w:val="374AAE"/>
          <w:spacing w:val="15"/>
          <w:sz w:val="24"/>
          <w:szCs w:val="24"/>
        </w:rPr>
        <w:t>静电放电抗扰度</w:t>
      </w:r>
    </w:p>
    <w:p w14:paraId="403F4394">
      <w:pPr>
        <w:pStyle w:val="2"/>
        <w:keepNext w:val="0"/>
        <w:keepLines w:val="0"/>
        <w:widowControl/>
        <w:suppressLineNumbers w:val="0"/>
        <w:spacing w:line="315" w:lineRule="atLeast"/>
        <w:jc w:val="both"/>
      </w:pPr>
      <w:r>
        <w:rPr>
          <w:rFonts w:hint="default" w:ascii="Arial" w:hAnsi="Arial" w:cs="Arial"/>
          <w:spacing w:val="15"/>
        </w:rPr>
        <w:t>1.</w:t>
      </w:r>
      <w:r>
        <w:rPr>
          <w:rFonts w:ascii="微软雅黑" w:hAnsi="微软雅黑" w:eastAsia="微软雅黑" w:cs="微软雅黑"/>
          <w:spacing w:val="15"/>
        </w:rPr>
        <w:t>医用电气设备需满足特定的静电放电抗扰度指标，空气放电分别为±2KV、±4KV和±6KV 。这是模拟日常生活中可能出现的静电接触情况，比如医护人员或患者在接触设备时产生的静电。</w:t>
      </w:r>
    </w:p>
    <w:p w14:paraId="287E55CE">
      <w:pPr>
        <w:pStyle w:val="2"/>
        <w:keepNext w:val="0"/>
        <w:keepLines w:val="0"/>
        <w:widowControl/>
        <w:suppressLineNumbers w:val="0"/>
        <w:spacing w:line="315" w:lineRule="atLeast"/>
        <w:rPr>
          <w:rFonts w:hint="eastAsia" w:ascii="微软雅黑" w:hAnsi="微软雅黑" w:eastAsia="微软雅黑" w:cs="微软雅黑"/>
          <w:spacing w:val="30"/>
        </w:rPr>
      </w:pPr>
      <w:r>
        <w:rPr>
          <w:rStyle w:val="5"/>
          <w:rFonts w:hint="eastAsia" w:ascii="微软雅黑" w:hAnsi="微软雅黑" w:eastAsia="微软雅黑" w:cs="微软雅黑"/>
          <w:spacing w:val="15"/>
        </w:rPr>
        <w:t>2.</w:t>
      </w:r>
      <w:r>
        <w:rPr>
          <w:rFonts w:hint="eastAsia" w:ascii="微软雅黑" w:hAnsi="微软雅黑" w:eastAsia="微软雅黑" w:cs="微软雅黑"/>
          <w:spacing w:val="15"/>
        </w:rPr>
        <w:t>测试时，使用静电发生器模拟实际静电放电场景。接触放电是将静电发生器的放电电极直接接触设备的金属外壳部件进行放电；空气放电是将放电电极接近受试设备并由火花对受试设备放电；间接放电是将放电电极通过垂直放置于离被测设备壳体面10cm处的- 0.5m*0.5m大小的金属板，向该金属板放电。若设备在测试过程中能正常运行，无死机、数据丢失、功能异常等情况，即符合要求。</w:t>
      </w:r>
    </w:p>
    <w:p w14:paraId="5768D809">
      <w:pPr>
        <w:pStyle w:val="2"/>
        <w:keepNext w:val="0"/>
        <w:keepLines w:val="0"/>
        <w:widowControl/>
        <w:suppressLineNumbers w:val="0"/>
      </w:pPr>
      <w:r>
        <w:rPr>
          <w:rFonts w:hint="default" w:ascii="Arial" w:hAnsi="Arial" w:cs="Arial"/>
          <w:color w:val="374AAE"/>
          <w:spacing w:val="15"/>
          <w:sz w:val="24"/>
          <w:szCs w:val="24"/>
        </w:rPr>
        <w:t>快速瞬变脉冲群抗扰度</w:t>
      </w:r>
    </w:p>
    <w:p w14:paraId="328B9EEB">
      <w:pPr>
        <w:pStyle w:val="2"/>
        <w:keepNext w:val="0"/>
        <w:keepLines w:val="0"/>
        <w:widowControl/>
        <w:suppressLineNumbers w:val="0"/>
        <w:spacing w:line="315" w:lineRule="atLeast"/>
        <w:jc w:val="both"/>
      </w:pPr>
      <w:r>
        <w:rPr>
          <w:rFonts w:hint="default" w:ascii="Arial" w:hAnsi="Arial" w:cs="Arial"/>
          <w:spacing w:val="15"/>
        </w:rPr>
        <w:t>1.</w:t>
      </w:r>
      <w:r>
        <w:rPr>
          <w:rFonts w:hint="eastAsia" w:ascii="微软雅黑" w:hAnsi="微软雅黑" w:eastAsia="微软雅黑" w:cs="微软雅黑"/>
          <w:spacing w:val="15"/>
        </w:rPr>
        <w:t>测试时，使用能产生特定波形的快速瞬变脉冲群发生器，通过耦合装置将瞬变脉冲群注入电源线或其它信号电缆及互连电缆线中。若设备在测试期间能维持正常功能，不出现误动作、显示错误等问题，便符合抗扰度要求。</w:t>
      </w:r>
    </w:p>
    <w:p w14:paraId="19C5BEE1">
      <w:pPr>
        <w:pStyle w:val="2"/>
        <w:keepNext w:val="0"/>
        <w:keepLines w:val="0"/>
        <w:widowControl/>
        <w:suppressLineNumbers w:val="0"/>
        <w:spacing w:line="315" w:lineRule="atLeast"/>
        <w:jc w:val="both"/>
        <w:rPr>
          <w:rFonts w:hint="eastAsia" w:ascii="微软雅黑" w:hAnsi="微软雅黑" w:eastAsia="微软雅黑" w:cs="微软雅黑"/>
          <w:spacing w:val="30"/>
        </w:rPr>
      </w:pPr>
      <w:r>
        <w:rPr>
          <w:rStyle w:val="5"/>
          <w:rFonts w:hint="eastAsia" w:ascii="微软雅黑" w:hAnsi="微软雅黑" w:eastAsia="微软雅黑" w:cs="微软雅黑"/>
          <w:spacing w:val="15"/>
        </w:rPr>
        <w:t>2.</w:t>
      </w:r>
      <w:r>
        <w:rPr>
          <w:rFonts w:hint="eastAsia" w:ascii="微软雅黑" w:hAnsi="微软雅黑" w:eastAsia="微软雅黑" w:cs="微软雅黑"/>
          <w:spacing w:val="15"/>
        </w:rPr>
        <w:t>由于医用电气设备使用的交流电源连接在公共电网上，其他电气设备的大功率电感性负载开关或继电器接点闭合产生的断续放电，会在电源线中形成快速瞬变脉冲群，可能干扰医疗设备。标准规定在AC和DC电源线上施加±0.5KV, ±1KV和±2KV快速瞬变脉冲群的电平 。</w:t>
      </w:r>
    </w:p>
    <w:p w14:paraId="3861A781">
      <w:pPr>
        <w:keepNext w:val="0"/>
        <w:keepLines w:val="0"/>
        <w:widowControl/>
        <w:suppressLineNumbers w:val="0"/>
        <w:spacing w:after="240" w:afterAutospacing="0"/>
        <w:jc w:val="left"/>
      </w:pPr>
    </w:p>
    <w:p w14:paraId="4FF37EFD">
      <w:pPr>
        <w:pStyle w:val="2"/>
        <w:keepNext w:val="0"/>
        <w:keepLines w:val="0"/>
        <w:widowControl/>
        <w:suppressLineNumbers w:val="0"/>
      </w:pPr>
      <w:r>
        <w:rPr>
          <w:color w:val="374AAE"/>
          <w:spacing w:val="23"/>
          <w:sz w:val="24"/>
          <w:szCs w:val="24"/>
        </w:rPr>
        <w:t>雷击浪涌抗扰度</w:t>
      </w:r>
    </w:p>
    <w:p w14:paraId="42A1FB27">
      <w:pPr>
        <w:pStyle w:val="2"/>
        <w:keepNext w:val="0"/>
        <w:keepLines w:val="0"/>
        <w:widowControl/>
        <w:suppressLineNumbers w:val="0"/>
        <w:spacing w:line="315" w:lineRule="atLeast"/>
        <w:jc w:val="both"/>
      </w:pPr>
      <w:r>
        <w:rPr>
          <w:rFonts w:hint="default" w:ascii="Arial" w:hAnsi="Arial" w:cs="Arial"/>
          <w:spacing w:val="15"/>
        </w:rPr>
        <w:t>1.</w:t>
      </w:r>
      <w:r>
        <w:rPr>
          <w:spacing w:val="15"/>
        </w:rPr>
        <w:t>自然界雷电或大功率负载开关、电力系统故障会产生浪涌，干扰设备正常工作甚至造成损坏。标准要求对AC电源线的相线对地施加±0.5KV, ±1KV和±2KV；相线对相线施加±0.5KV，和±1KV 。</w:t>
      </w:r>
    </w:p>
    <w:p w14:paraId="3438B289">
      <w:pPr>
        <w:pStyle w:val="2"/>
        <w:keepNext w:val="0"/>
        <w:keepLines w:val="0"/>
        <w:widowControl/>
        <w:suppressLineNumbers w:val="0"/>
        <w:spacing w:line="315" w:lineRule="atLeast"/>
        <w:rPr>
          <w:rFonts w:hint="eastAsia" w:ascii="微软雅黑" w:hAnsi="微软雅黑" w:eastAsia="微软雅黑" w:cs="微软雅黑"/>
          <w:spacing w:val="30"/>
        </w:rPr>
      </w:pPr>
      <w:r>
        <w:rPr>
          <w:rStyle w:val="5"/>
          <w:rFonts w:hint="eastAsia" w:ascii="微软雅黑" w:hAnsi="微软雅黑" w:eastAsia="微软雅黑" w:cs="微软雅黑"/>
          <w:spacing w:val="15"/>
        </w:rPr>
        <w:t>2.</w:t>
      </w:r>
      <w:r>
        <w:rPr>
          <w:rFonts w:hint="eastAsia" w:ascii="微软雅黑" w:hAnsi="微软雅黑" w:eastAsia="微软雅黑" w:cs="微软雅黑"/>
          <w:spacing w:val="15"/>
        </w:rPr>
        <w:t>测试时，通过耦合装置将浪涌电压注入电源线中，依据GB/T 17626.5国家标准执行。设备在测试后无硬件损坏、性能下降等情况，即表明通过测试。</w:t>
      </w:r>
    </w:p>
    <w:p w14:paraId="4ADBDB5C">
      <w:pPr>
        <w:pStyle w:val="2"/>
        <w:keepNext w:val="0"/>
        <w:keepLines w:val="0"/>
        <w:widowControl/>
        <w:suppressLineNumbers w:val="0"/>
      </w:pPr>
      <w:r>
        <w:rPr>
          <w:rFonts w:hint="default" w:ascii="Arial" w:hAnsi="Arial" w:cs="Arial"/>
          <w:color w:val="374AAE"/>
          <w:sz w:val="24"/>
          <w:szCs w:val="24"/>
        </w:rPr>
        <w:t>电压暂降、短时中断和电压变化的抗扰度</w:t>
      </w:r>
    </w:p>
    <w:p w14:paraId="42E5F41E">
      <w:pPr>
        <w:pStyle w:val="2"/>
        <w:keepNext w:val="0"/>
        <w:keepLines w:val="0"/>
        <w:widowControl/>
        <w:suppressLineNumbers w:val="0"/>
        <w:spacing w:line="315" w:lineRule="atLeast"/>
        <w:jc w:val="both"/>
      </w:pPr>
      <w:r>
        <w:rPr>
          <w:rFonts w:hint="default" w:ascii="Arial" w:hAnsi="Arial" w:cs="Arial"/>
          <w:spacing w:val="15"/>
        </w:rPr>
        <w:t>1.</w:t>
      </w:r>
      <w:r>
        <w:rPr>
          <w:spacing w:val="15"/>
        </w:rPr>
        <w:t>电源系统故障或负载激烈变化会引起供电中断或者电源电压暂降。电压暂降是指电气系统某一点电压在短时间内突然下降，经半个周期到几秒钟的短暂持续期后又恢复正常；短时中断指供电电压消失一段时间，一般不超过1分钟，电压下降到零，可认为是100%幅值的电压暂降。标准对供电电源的电压暂降、短时中断和电压变化有明确要求。</w:t>
      </w:r>
    </w:p>
    <w:p w14:paraId="1CBAE7E8">
      <w:pPr>
        <w:pStyle w:val="2"/>
        <w:keepNext w:val="0"/>
        <w:keepLines w:val="0"/>
        <w:widowControl/>
        <w:suppressLineNumbers w:val="0"/>
        <w:spacing w:line="315" w:lineRule="atLeast"/>
        <w:jc w:val="both"/>
        <w:rPr>
          <w:rFonts w:hint="eastAsia" w:ascii="微软雅黑" w:hAnsi="微软雅黑" w:eastAsia="微软雅黑" w:cs="微软雅黑"/>
          <w:spacing w:val="30"/>
        </w:rPr>
      </w:pPr>
      <w:r>
        <w:rPr>
          <w:rStyle w:val="5"/>
          <w:rFonts w:hint="eastAsia" w:ascii="微软雅黑" w:hAnsi="微软雅黑" w:eastAsia="微软雅黑" w:cs="微软雅黑"/>
          <w:spacing w:val="15"/>
        </w:rPr>
        <w:t>2.</w:t>
      </w:r>
      <w:r>
        <w:rPr>
          <w:rFonts w:hint="eastAsia" w:ascii="微软雅黑" w:hAnsi="微软雅黑" w:eastAsia="微软雅黑" w:cs="微软雅黑"/>
          <w:spacing w:val="15"/>
        </w:rPr>
        <w:t>测试时，用调压变压器和开关按规定要求进行电压暂降和短时中断的试验。若设备在试验过程中能维持正常功能，或者在短时变化恢复后能迅速恢复正常，即符合抗扰度要求。</w:t>
      </w:r>
    </w:p>
    <w:p w14:paraId="11415BD7">
      <w:pPr>
        <w:keepNext w:val="0"/>
        <w:keepLines w:val="0"/>
        <w:widowControl/>
        <w:suppressLineNumbers w:val="0"/>
        <w:jc w:val="left"/>
      </w:pPr>
    </w:p>
    <w:p w14:paraId="54868C2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8F72697">
      <w:pPr>
        <w:keepNext w:val="0"/>
        <w:keepLines w:val="0"/>
        <w:widowControl/>
        <w:suppressLineNumbers w:val="0"/>
        <w:jc w:val="left"/>
      </w:pPr>
      <w:r>
        <w:rPr>
          <w:rStyle w:val="5"/>
          <w:rFonts w:hint="default" w:ascii="Arial" w:hAnsi="Arial" w:eastAsia="宋体" w:cs="Arial"/>
          <w:kern w:val="0"/>
          <w:sz w:val="27"/>
          <w:szCs w:val="27"/>
          <w:lang w:val="en-US" w:eastAsia="zh-CN" w:bidi="ar"/>
        </w:rPr>
        <w:t>三.</w:t>
      </w:r>
      <w:r>
        <w:rPr>
          <w:rStyle w:val="5"/>
          <w:rFonts w:hint="default" w:ascii="Arial" w:hAnsi="Arial" w:eastAsia="宋体" w:cs="Arial"/>
          <w:kern w:val="0"/>
          <w:sz w:val="24"/>
          <w:szCs w:val="24"/>
          <w:lang w:val="en-US" w:eastAsia="zh-CN" w:bidi="ar"/>
        </w:rPr>
        <w:t>行业痛点与EMC常见问题洞察</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vertAlign w:val="baseline"/>
          <w:lang w:val="en-US" w:eastAsia="zh-CN" w:bidi="ar"/>
        </w:rPr>
        <w:drawing>
          <wp:inline distT="0" distB="0" distL="114300" distR="114300">
            <wp:extent cx="4638675" cy="2600325"/>
            <wp:effectExtent l="0" t="0" r="9525" b="9525"/>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5"/>
                    <a:stretch>
                      <a:fillRect/>
                    </a:stretch>
                  </pic:blipFill>
                  <pic:spPr>
                    <a:xfrm>
                      <a:off x="0" y="0"/>
                      <a:ext cx="4638675" cy="2600325"/>
                    </a:xfrm>
                    <a:prstGeom prst="rect">
                      <a:avLst/>
                    </a:prstGeom>
                    <a:noFill/>
                    <a:ln w="9525">
                      <a:noFill/>
                    </a:ln>
                  </pic:spPr>
                </pic:pic>
              </a:graphicData>
            </a:graphic>
          </wp:inline>
        </w:drawing>
      </w:r>
    </w:p>
    <w:p w14:paraId="7BE1BC22">
      <w:pPr>
        <w:pStyle w:val="2"/>
        <w:keepNext w:val="0"/>
        <w:keepLines w:val="0"/>
        <w:widowControl/>
        <w:suppressLineNumbers w:val="0"/>
        <w:jc w:val="left"/>
      </w:pPr>
      <w:r>
        <w:rPr>
          <w:rFonts w:hint="default" w:ascii="Arial" w:hAnsi="Arial" w:cs="Arial"/>
          <w:color w:val="374AAE"/>
          <w:spacing w:val="15"/>
          <w:sz w:val="24"/>
          <w:szCs w:val="24"/>
        </w:rPr>
        <w:t>行业痛点深度挖掘</w:t>
      </w:r>
    </w:p>
    <w:p w14:paraId="219D037B">
      <w:pPr>
        <w:pStyle w:val="2"/>
        <w:keepNext w:val="0"/>
        <w:keepLines w:val="0"/>
        <w:widowControl/>
        <w:suppressLineNumbers w:val="0"/>
        <w:spacing w:line="315" w:lineRule="atLeast"/>
        <w:jc w:val="both"/>
      </w:pPr>
      <w:r>
        <w:rPr>
          <w:rStyle w:val="5"/>
          <w:rFonts w:hint="default" w:ascii="Arial" w:hAnsi="Arial" w:cs="Arial"/>
          <w:spacing w:val="15"/>
        </w:rPr>
        <w:t>牙科设备对精度和功能的要求不断提高 ：</w:t>
      </w:r>
    </w:p>
    <w:p w14:paraId="2F347E5A">
      <w:pPr>
        <w:pStyle w:val="2"/>
        <w:keepNext w:val="0"/>
        <w:keepLines w:val="0"/>
        <w:widowControl/>
        <w:suppressLineNumbers w:val="0"/>
        <w:spacing w:line="315" w:lineRule="atLeast"/>
        <w:jc w:val="both"/>
      </w:pPr>
      <w:r>
        <w:rPr>
          <w:rFonts w:hint="default" w:ascii="Arial" w:hAnsi="Arial" w:cs="Arial"/>
          <w:spacing w:val="15"/>
        </w:rPr>
        <w:t>基于锥形束 CT（CBCT）的导航系统可实时匹配术前规划与术中骨组织位置，动态调整钻头路径；动态稳定性控制在手术过程中需抵抗手部抖动、组织反作用力等干扰，保持操作轨迹的稳定性；多模态协同操作设备需支持钻削、铣削、激光切割等多种操作模式，并与 irrigation（冲洗）、止血等辅助功能联动，确保操作连贯性。</w:t>
      </w:r>
    </w:p>
    <w:p w14:paraId="31F2D7A8">
      <w:pPr>
        <w:pStyle w:val="2"/>
        <w:keepNext w:val="0"/>
        <w:keepLines w:val="0"/>
        <w:widowControl/>
        <w:suppressLineNumbers w:val="0"/>
        <w:spacing w:line="315" w:lineRule="atLeast"/>
        <w:jc w:val="both"/>
      </w:pPr>
    </w:p>
    <w:p w14:paraId="0B596E57">
      <w:pPr>
        <w:pStyle w:val="2"/>
        <w:keepNext w:val="0"/>
        <w:keepLines w:val="0"/>
        <w:widowControl/>
        <w:suppressLineNumbers w:val="0"/>
        <w:spacing w:line="315" w:lineRule="atLeast"/>
      </w:pPr>
      <w:r>
        <w:rPr>
          <w:rStyle w:val="5"/>
          <w:rFonts w:hint="default" w:ascii="Arial" w:hAnsi="Arial" w:cs="Arial"/>
          <w:spacing w:val="15"/>
        </w:rPr>
        <w:t>成本压力：</w:t>
      </w:r>
    </w:p>
    <w:p w14:paraId="3938081E">
      <w:pPr>
        <w:pStyle w:val="2"/>
        <w:keepNext w:val="0"/>
        <w:keepLines w:val="0"/>
        <w:widowControl/>
        <w:suppressLineNumbers w:val="0"/>
        <w:spacing w:line="315" w:lineRule="atLeast"/>
      </w:pPr>
      <w:r>
        <w:rPr>
          <w:rFonts w:hint="default" w:ascii="Arial" w:hAnsi="Arial" w:cs="Arial"/>
          <w:spacing w:val="15"/>
        </w:rPr>
        <w:t>研发和生产成本高，包括先进技术的研发投入、高精度零部件的采购、严格的质量检测等，导致设备价格昂贵，增加了医疗机构的采购成本。</w:t>
      </w:r>
    </w:p>
    <w:p w14:paraId="7DB1CE51">
      <w:pPr>
        <w:pStyle w:val="2"/>
        <w:keepNext w:val="0"/>
        <w:keepLines w:val="0"/>
        <w:widowControl/>
        <w:suppressLineNumbers w:val="0"/>
        <w:spacing w:line="315" w:lineRule="atLeast"/>
      </w:pPr>
    </w:p>
    <w:p w14:paraId="6BF44F0A">
      <w:pPr>
        <w:pStyle w:val="2"/>
        <w:keepNext w:val="0"/>
        <w:keepLines w:val="0"/>
        <w:widowControl/>
        <w:suppressLineNumbers w:val="0"/>
        <w:spacing w:line="315" w:lineRule="atLeast"/>
      </w:pPr>
      <w:r>
        <w:rPr>
          <w:rStyle w:val="5"/>
          <w:spacing w:val="15"/>
        </w:rPr>
        <w:t>市场竞争激烈：</w:t>
      </w:r>
    </w:p>
    <w:p w14:paraId="4D886DA9">
      <w:pPr>
        <w:pStyle w:val="2"/>
        <w:keepNext w:val="0"/>
        <w:keepLines w:val="0"/>
        <w:widowControl/>
        <w:suppressLineNumbers w:val="0"/>
        <w:spacing w:line="315" w:lineRule="atLeast"/>
      </w:pPr>
      <w:r>
        <w:rPr>
          <w:spacing w:val="15"/>
        </w:rPr>
        <w:t>众多企业纷纷进入牙科医疗设备市场，竞争激烈。国际知名品牌凭借先进技术和品牌优势占据高端市场，国内企业则在中低端市场竞争，企业需要在产品质量、价格、服务等多方面提升竞争力。</w:t>
      </w:r>
    </w:p>
    <w:p w14:paraId="7A0DD4EF">
      <w:pPr>
        <w:pStyle w:val="2"/>
        <w:keepNext w:val="0"/>
        <w:keepLines w:val="0"/>
        <w:widowControl/>
        <w:suppressLineNumbers w:val="0"/>
        <w:jc w:val="left"/>
      </w:pPr>
      <w:r>
        <w:rPr>
          <w:rFonts w:hint="default" w:ascii="Arial" w:hAnsi="Arial" w:cs="Arial"/>
          <w:color w:val="374AAE"/>
          <w:spacing w:val="15"/>
          <w:sz w:val="24"/>
          <w:szCs w:val="24"/>
        </w:rPr>
        <w:t>EMC常见问题解析</w:t>
      </w:r>
    </w:p>
    <w:p w14:paraId="7FF15DDF">
      <w:pPr>
        <w:pStyle w:val="2"/>
        <w:keepNext w:val="0"/>
        <w:keepLines w:val="0"/>
        <w:widowControl/>
        <w:suppressLineNumbers w:val="0"/>
        <w:spacing w:line="315" w:lineRule="atLeast"/>
        <w:jc w:val="both"/>
      </w:pPr>
      <w:r>
        <w:rPr>
          <w:rFonts w:hint="default" w:ascii="Arial" w:hAnsi="Arial" w:cs="Arial"/>
          <w:spacing w:val="15"/>
        </w:rPr>
        <w:t>牙科设备中的电子元件众多，不同元件之间容易产生电磁干扰</w:t>
      </w:r>
    </w:p>
    <w:p w14:paraId="72BF0E75">
      <w:pPr>
        <w:pStyle w:val="2"/>
        <w:keepNext w:val="0"/>
        <w:keepLines w:val="0"/>
        <w:widowControl/>
        <w:suppressLineNumbers w:val="0"/>
        <w:spacing w:line="315" w:lineRule="atLeast"/>
      </w:pPr>
    </w:p>
    <w:p w14:paraId="094CD7B6">
      <w:pPr>
        <w:pStyle w:val="2"/>
        <w:keepNext w:val="0"/>
        <w:keepLines w:val="0"/>
        <w:widowControl/>
        <w:suppressLineNumbers w:val="0"/>
        <w:spacing w:line="315" w:lineRule="atLeast"/>
      </w:pPr>
      <w:r>
        <w:rPr>
          <w:rFonts w:hint="default" w:ascii="Arial" w:hAnsi="Arial" w:cs="Arial"/>
          <w:spacing w:val="15"/>
        </w:rPr>
        <w:t>牙科电机的高速旋转电机可能会对附近的电子传感器产生干扰，影响设备对口腔数据的准确采集</w:t>
      </w:r>
    </w:p>
    <w:p w14:paraId="36BFBF99">
      <w:pPr>
        <w:pStyle w:val="2"/>
        <w:keepNext w:val="0"/>
        <w:keepLines w:val="0"/>
        <w:widowControl/>
        <w:suppressLineNumbers w:val="0"/>
        <w:spacing w:line="315" w:lineRule="atLeast"/>
      </w:pPr>
    </w:p>
    <w:p w14:paraId="195F52FD">
      <w:pPr>
        <w:pStyle w:val="2"/>
        <w:keepNext w:val="0"/>
        <w:keepLines w:val="0"/>
        <w:widowControl/>
        <w:suppressLineNumbers w:val="0"/>
        <w:spacing w:line="315" w:lineRule="atLeast"/>
      </w:pPr>
      <w:r>
        <w:rPr>
          <w:rFonts w:hint="default" w:ascii="Arial" w:hAnsi="Arial" w:cs="Arial"/>
          <w:spacing w:val="15"/>
        </w:rPr>
        <w:t>电磁干扰不仅会影响设备的性能，还可能导致诊断和治疗的误差，降低医疗质量</w:t>
      </w:r>
    </w:p>
    <w:p w14:paraId="517B2FD1">
      <w:pPr>
        <w:pStyle w:val="2"/>
        <w:keepNext w:val="0"/>
        <w:keepLines w:val="0"/>
        <w:widowControl/>
        <w:suppressLineNumbers w:val="0"/>
        <w:spacing w:line="315" w:lineRule="atLeast"/>
        <w:jc w:val="both"/>
      </w:pPr>
    </w:p>
    <w:p w14:paraId="631C6EDE">
      <w:pPr>
        <w:pStyle w:val="2"/>
        <w:keepNext w:val="0"/>
        <w:keepLines w:val="0"/>
        <w:widowControl/>
        <w:suppressLineNumbers w:val="0"/>
        <w:spacing w:line="315" w:lineRule="atLeast"/>
        <w:jc w:val="both"/>
      </w:pPr>
      <w:r>
        <w:rPr>
          <w:rStyle w:val="5"/>
          <w:rFonts w:hint="default" w:ascii="Arial" w:hAnsi="Arial" w:cs="Arial"/>
          <w:spacing w:val="15"/>
        </w:rPr>
        <w:t>案例：</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15"/>
        <w:gridCol w:w="2679"/>
        <w:gridCol w:w="2592"/>
        <w:gridCol w:w="1920"/>
      </w:tblGrid>
      <w:tr w14:paraId="08616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blCellSpacing w:w="0" w:type="dxa"/>
        </w:trPr>
        <w:tc>
          <w:tcPr>
            <w:tcW w:w="1102" w:type="dxa"/>
            <w:shd w:val="clear" w:color="auto" w:fill="auto"/>
            <w:vAlign w:val="center"/>
          </w:tcPr>
          <w:p w14:paraId="51454B25">
            <w:pPr>
              <w:pStyle w:val="2"/>
              <w:keepNext w:val="0"/>
              <w:keepLines w:val="0"/>
              <w:widowControl/>
              <w:suppressLineNumbers w:val="0"/>
              <w:spacing w:line="210" w:lineRule="atLeast"/>
              <w:jc w:val="center"/>
            </w:pPr>
            <w:r>
              <w:rPr>
                <w:rStyle w:val="5"/>
                <w:rFonts w:hint="default" w:ascii="Arial" w:hAnsi="Arial" w:cs="Arial"/>
                <w:color w:val="000000"/>
                <w:spacing w:val="0"/>
                <w:sz w:val="18"/>
                <w:szCs w:val="18"/>
              </w:rPr>
              <w:t>场景</w:t>
            </w:r>
          </w:p>
        </w:tc>
        <w:tc>
          <w:tcPr>
            <w:tcW w:w="1643" w:type="dxa"/>
            <w:shd w:val="clear" w:color="auto" w:fill="auto"/>
            <w:vAlign w:val="center"/>
          </w:tcPr>
          <w:p w14:paraId="55D7DDBE">
            <w:pPr>
              <w:pStyle w:val="2"/>
              <w:keepNext w:val="0"/>
              <w:keepLines w:val="0"/>
              <w:widowControl/>
              <w:suppressLineNumbers w:val="0"/>
              <w:spacing w:line="210" w:lineRule="atLeast"/>
              <w:jc w:val="center"/>
            </w:pPr>
            <w:r>
              <w:rPr>
                <w:rStyle w:val="5"/>
                <w:rFonts w:hint="default" w:ascii="Arial" w:hAnsi="Arial" w:cs="Arial"/>
                <w:color w:val="000000"/>
                <w:spacing w:val="0"/>
                <w:sz w:val="18"/>
                <w:szCs w:val="18"/>
              </w:rPr>
              <w:t>软件算法</w:t>
            </w:r>
          </w:p>
        </w:tc>
        <w:tc>
          <w:tcPr>
            <w:tcW w:w="1768" w:type="dxa"/>
            <w:shd w:val="clear" w:color="auto" w:fill="auto"/>
            <w:vAlign w:val="center"/>
          </w:tcPr>
          <w:p w14:paraId="698BE2C7">
            <w:pPr>
              <w:pStyle w:val="2"/>
              <w:keepNext w:val="0"/>
              <w:keepLines w:val="0"/>
              <w:widowControl/>
              <w:suppressLineNumbers w:val="0"/>
              <w:spacing w:line="210" w:lineRule="atLeast"/>
              <w:jc w:val="center"/>
            </w:pPr>
            <w:r>
              <w:rPr>
                <w:rStyle w:val="5"/>
                <w:rFonts w:hint="default" w:ascii="Arial" w:hAnsi="Arial" w:cs="Arial"/>
                <w:color w:val="000000"/>
                <w:spacing w:val="0"/>
                <w:sz w:val="18"/>
                <w:szCs w:val="18"/>
              </w:rPr>
              <w:t>电机系统</w:t>
            </w:r>
          </w:p>
        </w:tc>
        <w:tc>
          <w:tcPr>
            <w:tcW w:w="1361" w:type="dxa"/>
            <w:shd w:val="clear" w:color="auto" w:fill="auto"/>
            <w:vAlign w:val="center"/>
          </w:tcPr>
          <w:p w14:paraId="75D97412">
            <w:pPr>
              <w:pStyle w:val="2"/>
              <w:keepNext w:val="0"/>
              <w:keepLines w:val="0"/>
              <w:widowControl/>
              <w:suppressLineNumbers w:val="0"/>
              <w:spacing w:line="210" w:lineRule="atLeast"/>
              <w:jc w:val="center"/>
            </w:pPr>
            <w:r>
              <w:rPr>
                <w:rStyle w:val="5"/>
                <w:rFonts w:hint="default" w:ascii="Arial" w:hAnsi="Arial" w:cs="Arial"/>
                <w:color w:val="000000"/>
                <w:spacing w:val="0"/>
                <w:sz w:val="18"/>
                <w:szCs w:val="18"/>
              </w:rPr>
              <w:t>定位技术</w:t>
            </w:r>
          </w:p>
        </w:tc>
      </w:tr>
      <w:tr w14:paraId="61B5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blCellSpacing w:w="0" w:type="dxa"/>
        </w:trPr>
        <w:tc>
          <w:tcPr>
            <w:tcW w:w="0" w:type="auto"/>
            <w:shd w:val="clear" w:color="auto" w:fill="auto"/>
            <w:vAlign w:val="center"/>
          </w:tcPr>
          <w:p w14:paraId="79A80192">
            <w:pPr>
              <w:pStyle w:val="2"/>
              <w:keepNext w:val="0"/>
              <w:keepLines w:val="0"/>
              <w:widowControl/>
              <w:suppressLineNumbers w:val="0"/>
              <w:spacing w:line="210" w:lineRule="atLeast"/>
              <w:jc w:val="center"/>
            </w:pPr>
            <w:r>
              <w:rPr>
                <w:rFonts w:hint="default" w:ascii="Arial" w:hAnsi="Arial" w:cs="Arial"/>
                <w:color w:val="000000"/>
                <w:spacing w:val="0"/>
                <w:sz w:val="18"/>
                <w:szCs w:val="18"/>
              </w:rPr>
              <w:t>微创即刻种植</w:t>
            </w:r>
          </w:p>
        </w:tc>
        <w:tc>
          <w:tcPr>
            <w:tcW w:w="0" w:type="auto"/>
            <w:shd w:val="clear" w:color="auto" w:fill="auto"/>
            <w:vAlign w:val="center"/>
          </w:tcPr>
          <w:p w14:paraId="4FC2BD5A">
            <w:pPr>
              <w:pStyle w:val="2"/>
              <w:keepNext w:val="0"/>
              <w:keepLines w:val="0"/>
              <w:widowControl/>
              <w:suppressLineNumbers w:val="0"/>
              <w:spacing w:line="210" w:lineRule="atLeast"/>
              <w:jc w:val="center"/>
            </w:pPr>
            <w:r>
              <w:rPr>
                <w:rFonts w:hint="default" w:ascii="Arial" w:hAnsi="Arial" w:cs="Arial"/>
                <w:color w:val="000000"/>
                <w:spacing w:val="0"/>
                <w:sz w:val="18"/>
                <w:szCs w:val="18"/>
              </w:rPr>
              <w:t>基于 AI 的骨密度分析 + 自动路径规划</w:t>
            </w:r>
          </w:p>
        </w:tc>
        <w:tc>
          <w:tcPr>
            <w:tcW w:w="0" w:type="auto"/>
            <w:shd w:val="clear" w:color="auto" w:fill="auto"/>
            <w:vAlign w:val="center"/>
          </w:tcPr>
          <w:p w14:paraId="6C86E4BC">
            <w:pPr>
              <w:pStyle w:val="2"/>
              <w:keepNext w:val="0"/>
              <w:keepLines w:val="0"/>
              <w:widowControl/>
              <w:suppressLineNumbers w:val="0"/>
              <w:spacing w:line="210" w:lineRule="atLeast"/>
              <w:jc w:val="center"/>
            </w:pPr>
            <w:r>
              <w:rPr>
                <w:rFonts w:hint="default" w:ascii="Arial" w:hAnsi="Arial" w:cs="Arial"/>
                <w:color w:val="000000"/>
                <w:spacing w:val="0"/>
                <w:sz w:val="18"/>
                <w:szCs w:val="18"/>
              </w:rPr>
              <w:t>微伺服电机（φ8mm，扭矩 1N・m）</w:t>
            </w:r>
          </w:p>
        </w:tc>
        <w:tc>
          <w:tcPr>
            <w:tcW w:w="0" w:type="auto"/>
            <w:shd w:val="clear" w:color="auto" w:fill="auto"/>
            <w:vAlign w:val="center"/>
          </w:tcPr>
          <w:p w14:paraId="100AA04D">
            <w:pPr>
              <w:pStyle w:val="2"/>
              <w:keepNext w:val="0"/>
              <w:keepLines w:val="0"/>
              <w:widowControl/>
              <w:suppressLineNumbers w:val="0"/>
              <w:spacing w:line="210" w:lineRule="atLeast"/>
              <w:jc w:val="center"/>
            </w:pPr>
            <w:r>
              <w:rPr>
                <w:rFonts w:hint="default" w:ascii="Arial" w:hAnsi="Arial" w:cs="Arial"/>
                <w:color w:val="000000"/>
                <w:spacing w:val="0"/>
                <w:sz w:val="18"/>
                <w:szCs w:val="18"/>
              </w:rPr>
              <w:t>光学导航（误差≤0.3mm）</w:t>
            </w:r>
          </w:p>
        </w:tc>
      </w:tr>
      <w:tr w14:paraId="73B0B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blCellSpacing w:w="0" w:type="dxa"/>
        </w:trPr>
        <w:tc>
          <w:tcPr>
            <w:tcW w:w="0" w:type="auto"/>
            <w:shd w:val="clear" w:color="auto" w:fill="auto"/>
            <w:vAlign w:val="center"/>
          </w:tcPr>
          <w:p w14:paraId="1ADCA22B">
            <w:pPr>
              <w:pStyle w:val="2"/>
              <w:keepNext w:val="0"/>
              <w:keepLines w:val="0"/>
              <w:widowControl/>
              <w:suppressLineNumbers w:val="0"/>
              <w:spacing w:line="210" w:lineRule="atLeast"/>
              <w:jc w:val="center"/>
            </w:pPr>
            <w:r>
              <w:rPr>
                <w:rFonts w:hint="default" w:ascii="Arial" w:hAnsi="Arial" w:cs="Arial"/>
                <w:color w:val="000000"/>
                <w:spacing w:val="0"/>
                <w:sz w:val="18"/>
                <w:szCs w:val="18"/>
              </w:rPr>
              <w:t>复杂骨增量手术</w:t>
            </w:r>
          </w:p>
        </w:tc>
        <w:tc>
          <w:tcPr>
            <w:tcW w:w="0" w:type="auto"/>
            <w:shd w:val="clear" w:color="auto" w:fill="auto"/>
            <w:vAlign w:val="center"/>
          </w:tcPr>
          <w:p w14:paraId="0C2283A2">
            <w:pPr>
              <w:pStyle w:val="2"/>
              <w:keepNext w:val="0"/>
              <w:keepLines w:val="0"/>
              <w:widowControl/>
              <w:suppressLineNumbers w:val="0"/>
              <w:spacing w:line="210" w:lineRule="atLeast"/>
              <w:jc w:val="center"/>
            </w:pPr>
            <w:r>
              <w:rPr>
                <w:rFonts w:hint="default" w:ascii="Arial" w:hAnsi="Arial" w:cs="Arial"/>
                <w:color w:val="000000"/>
                <w:spacing w:val="0"/>
                <w:sz w:val="18"/>
                <w:szCs w:val="18"/>
              </w:rPr>
              <w:t>多模态影像融合 + 应力模拟算法</w:t>
            </w:r>
          </w:p>
        </w:tc>
        <w:tc>
          <w:tcPr>
            <w:tcW w:w="0" w:type="auto"/>
            <w:shd w:val="clear" w:color="auto" w:fill="auto"/>
            <w:vAlign w:val="center"/>
          </w:tcPr>
          <w:p w14:paraId="09720434">
            <w:pPr>
              <w:pStyle w:val="2"/>
              <w:keepNext w:val="0"/>
              <w:keepLines w:val="0"/>
              <w:widowControl/>
              <w:suppressLineNumbers w:val="0"/>
              <w:spacing w:line="210" w:lineRule="atLeast"/>
              <w:jc w:val="center"/>
            </w:pPr>
            <w:r>
              <w:rPr>
                <w:rFonts w:hint="default" w:ascii="Arial" w:hAnsi="Arial" w:cs="Arial"/>
                <w:color w:val="000000"/>
                <w:spacing w:val="0"/>
                <w:sz w:val="18"/>
                <w:szCs w:val="18"/>
              </w:rPr>
              <w:t>直驱式步进电机（分辨率 1.8°）</w:t>
            </w:r>
          </w:p>
        </w:tc>
        <w:tc>
          <w:tcPr>
            <w:tcW w:w="0" w:type="auto"/>
            <w:shd w:val="clear" w:color="auto" w:fill="auto"/>
            <w:vAlign w:val="center"/>
          </w:tcPr>
          <w:p w14:paraId="22F8678C">
            <w:pPr>
              <w:pStyle w:val="2"/>
              <w:keepNext w:val="0"/>
              <w:keepLines w:val="0"/>
              <w:widowControl/>
              <w:suppressLineNumbers w:val="0"/>
              <w:spacing w:line="210" w:lineRule="atLeast"/>
              <w:jc w:val="center"/>
            </w:pPr>
            <w:r>
              <w:rPr>
                <w:rFonts w:hint="default" w:ascii="Arial" w:hAnsi="Arial" w:cs="Arial"/>
                <w:color w:val="000000"/>
                <w:spacing w:val="0"/>
                <w:sz w:val="18"/>
                <w:szCs w:val="18"/>
              </w:rPr>
              <w:t>电磁追踪（穿透性强）</w:t>
            </w:r>
          </w:p>
        </w:tc>
      </w:tr>
      <w:tr w14:paraId="16460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0" w:hRule="atLeast"/>
          <w:tblCellSpacing w:w="0" w:type="dxa"/>
        </w:trPr>
        <w:tc>
          <w:tcPr>
            <w:tcW w:w="0" w:type="auto"/>
            <w:shd w:val="clear" w:color="auto" w:fill="auto"/>
            <w:vAlign w:val="center"/>
          </w:tcPr>
          <w:p w14:paraId="5A58A9C8">
            <w:pPr>
              <w:pStyle w:val="2"/>
              <w:keepNext w:val="0"/>
              <w:keepLines w:val="0"/>
              <w:widowControl/>
              <w:suppressLineNumbers w:val="0"/>
              <w:spacing w:line="210" w:lineRule="atLeast"/>
              <w:jc w:val="center"/>
            </w:pPr>
            <w:r>
              <w:rPr>
                <w:rFonts w:hint="default" w:ascii="Arial" w:hAnsi="Arial" w:cs="Arial"/>
                <w:color w:val="000000"/>
                <w:spacing w:val="0"/>
                <w:sz w:val="18"/>
                <w:szCs w:val="18"/>
              </w:rPr>
              <w:t>儿童牙种植</w:t>
            </w:r>
          </w:p>
        </w:tc>
        <w:tc>
          <w:tcPr>
            <w:tcW w:w="0" w:type="auto"/>
            <w:shd w:val="clear" w:color="auto" w:fill="auto"/>
            <w:vAlign w:val="center"/>
          </w:tcPr>
          <w:p w14:paraId="77347123">
            <w:pPr>
              <w:pStyle w:val="2"/>
              <w:keepNext w:val="0"/>
              <w:keepLines w:val="0"/>
              <w:widowControl/>
              <w:suppressLineNumbers w:val="0"/>
              <w:spacing w:line="210" w:lineRule="atLeast"/>
              <w:jc w:val="center"/>
            </w:pPr>
            <w:r>
              <w:rPr>
                <w:rFonts w:hint="default" w:ascii="Arial" w:hAnsi="Arial" w:cs="Arial"/>
                <w:color w:val="000000"/>
                <w:spacing w:val="0"/>
                <w:sz w:val="18"/>
                <w:szCs w:val="18"/>
              </w:rPr>
              <w:t>力控防过载算法 + 虚拟屏障保护</w:t>
            </w:r>
          </w:p>
        </w:tc>
        <w:tc>
          <w:tcPr>
            <w:tcW w:w="0" w:type="auto"/>
            <w:shd w:val="clear" w:color="auto" w:fill="auto"/>
            <w:vAlign w:val="center"/>
          </w:tcPr>
          <w:p w14:paraId="05DFA49E">
            <w:pPr>
              <w:pStyle w:val="2"/>
              <w:keepNext w:val="0"/>
              <w:keepLines w:val="0"/>
              <w:widowControl/>
              <w:suppressLineNumbers w:val="0"/>
              <w:spacing w:line="210" w:lineRule="atLeast"/>
              <w:jc w:val="center"/>
            </w:pPr>
            <w:r>
              <w:rPr>
                <w:rFonts w:hint="default" w:ascii="Arial" w:hAnsi="Arial" w:cs="Arial"/>
                <w:color w:val="000000"/>
                <w:spacing w:val="0"/>
                <w:sz w:val="18"/>
                <w:szCs w:val="18"/>
              </w:rPr>
              <w:t>音圈电机（响应时间 &lt; 10ms）</w:t>
            </w:r>
          </w:p>
        </w:tc>
        <w:tc>
          <w:tcPr>
            <w:tcW w:w="0" w:type="auto"/>
            <w:shd w:val="clear" w:color="auto" w:fill="auto"/>
            <w:vAlign w:val="center"/>
          </w:tcPr>
          <w:p w14:paraId="305CE13F">
            <w:pPr>
              <w:pStyle w:val="2"/>
              <w:keepNext w:val="0"/>
              <w:keepLines w:val="0"/>
              <w:widowControl/>
              <w:suppressLineNumbers w:val="0"/>
              <w:spacing w:line="210" w:lineRule="atLeast"/>
              <w:jc w:val="center"/>
            </w:pPr>
            <w:r>
              <w:rPr>
                <w:rFonts w:hint="default" w:ascii="Arial" w:hAnsi="Arial" w:cs="Arial"/>
                <w:color w:val="000000"/>
                <w:spacing w:val="0"/>
                <w:sz w:val="18"/>
                <w:szCs w:val="18"/>
              </w:rPr>
              <w:t>超声实时成像（无辐射）</w:t>
            </w:r>
          </w:p>
        </w:tc>
      </w:tr>
    </w:tbl>
    <w:p w14:paraId="3D71AD76">
      <w:pPr>
        <w:pStyle w:val="2"/>
        <w:keepNext w:val="0"/>
        <w:keepLines w:val="0"/>
        <w:widowControl/>
        <w:suppressLineNumbers w:val="0"/>
        <w:spacing w:line="315" w:lineRule="atLeast"/>
        <w:jc w:val="both"/>
      </w:pPr>
    </w:p>
    <w:p w14:paraId="28D6AE22">
      <w:pPr>
        <w:pStyle w:val="2"/>
        <w:keepNext w:val="0"/>
        <w:keepLines w:val="0"/>
        <w:widowControl/>
        <w:suppressLineNumbers w:val="0"/>
        <w:spacing w:line="315" w:lineRule="atLeast"/>
        <w:jc w:val="both"/>
      </w:pPr>
      <w:r>
        <w:rPr>
          <w:rStyle w:val="5"/>
          <w:rFonts w:hint="default" w:ascii="Arial" w:hAnsi="Arial" w:cs="Arial"/>
          <w:spacing w:val="15"/>
        </w:rPr>
        <w:t>电磁发射（EMI）超标</w:t>
      </w:r>
    </w:p>
    <w:p w14:paraId="796AAE4A">
      <w:pPr>
        <w:pStyle w:val="2"/>
        <w:keepNext w:val="0"/>
        <w:keepLines w:val="0"/>
        <w:widowControl/>
        <w:suppressLineNumbers w:val="0"/>
        <w:spacing w:line="315" w:lineRule="atLeast"/>
      </w:pPr>
      <w:r>
        <w:rPr>
          <w:rStyle w:val="5"/>
          <w:rFonts w:hint="default" w:ascii="Arial" w:hAnsi="Arial" w:cs="Arial"/>
          <w:spacing w:val="15"/>
        </w:rPr>
        <w:t>原理：</w:t>
      </w:r>
      <w:r>
        <w:rPr>
          <w:rFonts w:hint="default" w:ascii="Arial" w:hAnsi="Arial" w:cs="Arial"/>
          <w:spacing w:val="15"/>
        </w:rPr>
        <w:t>设备内部高频元件（如电机、电源、处理器）工作时会辐射电磁噪声（如射频干扰、谐波）</w:t>
      </w:r>
    </w:p>
    <w:p w14:paraId="182576BB">
      <w:pPr>
        <w:pStyle w:val="2"/>
        <w:keepNext w:val="0"/>
        <w:keepLines w:val="0"/>
        <w:widowControl/>
        <w:suppressLineNumbers w:val="0"/>
        <w:spacing w:line="315" w:lineRule="atLeast"/>
      </w:pPr>
      <w:r>
        <w:rPr>
          <w:rStyle w:val="5"/>
          <w:rFonts w:hint="default" w:ascii="Arial" w:hAnsi="Arial" w:cs="Arial"/>
          <w:spacing w:val="15"/>
        </w:rPr>
        <w:t>案例：</w:t>
      </w:r>
      <w:r>
        <w:rPr>
          <w:rFonts w:hint="default" w:ascii="Arial" w:hAnsi="Arial" w:cs="Arial"/>
          <w:spacing w:val="15"/>
        </w:rPr>
        <w:t>牙科手持电机的电刷换向产生高频脉冲噪声，若未有效滤波，可能耦合到显示屏的驱动电路，导致像素信号紊乱，出现闪烁或花屏，功率模块（如开关电源）的 EMI 未被抑制，通过电源线传导至控制系统，干扰 MCU 的逻辑信号，引发显示错误（如数据读取错误）</w:t>
      </w:r>
    </w:p>
    <w:p w14:paraId="62ADA635">
      <w:pPr>
        <w:pStyle w:val="2"/>
        <w:keepNext w:val="0"/>
        <w:keepLines w:val="0"/>
        <w:widowControl/>
        <w:suppressLineNumbers w:val="0"/>
        <w:spacing w:line="315" w:lineRule="atLeast"/>
        <w:jc w:val="both"/>
      </w:pPr>
    </w:p>
    <w:p w14:paraId="289102C7">
      <w:pPr>
        <w:pStyle w:val="2"/>
        <w:keepNext w:val="0"/>
        <w:keepLines w:val="0"/>
        <w:widowControl/>
        <w:suppressLineNumbers w:val="0"/>
        <w:spacing w:line="315" w:lineRule="atLeast"/>
      </w:pPr>
      <w:r>
        <w:rPr>
          <w:rStyle w:val="5"/>
          <w:rFonts w:hint="default" w:ascii="Arial" w:hAnsi="Arial" w:cs="Arial"/>
          <w:spacing w:val="15"/>
        </w:rPr>
        <w:t>电磁抗扰度（EMS）不足</w:t>
      </w:r>
    </w:p>
    <w:p w14:paraId="06F0E912">
      <w:pPr>
        <w:pStyle w:val="2"/>
        <w:keepNext w:val="0"/>
        <w:keepLines w:val="0"/>
        <w:widowControl/>
        <w:suppressLineNumbers w:val="0"/>
        <w:spacing w:line="315" w:lineRule="atLeast"/>
        <w:jc w:val="both"/>
      </w:pPr>
      <w:r>
        <w:rPr>
          <w:rStyle w:val="5"/>
          <w:rFonts w:hint="default" w:ascii="Arial" w:hAnsi="Arial" w:cs="Arial"/>
          <w:spacing w:val="15"/>
        </w:rPr>
        <w:t>原理：</w:t>
      </w:r>
      <w:r>
        <w:rPr>
          <w:rFonts w:hint="default" w:ascii="Arial" w:hAnsi="Arial" w:cs="Arial"/>
          <w:spacing w:val="15"/>
        </w:rPr>
        <w:t>设备对外部电磁干扰（如医院内其他设备的射频信号、电网波动）缺乏抗扰能力</w:t>
      </w:r>
    </w:p>
    <w:p w14:paraId="59AD2941">
      <w:pPr>
        <w:pStyle w:val="2"/>
        <w:keepNext w:val="0"/>
        <w:keepLines w:val="0"/>
        <w:widowControl/>
        <w:suppressLineNumbers w:val="0"/>
        <w:spacing w:line="315" w:lineRule="atLeast"/>
      </w:pPr>
      <w:r>
        <w:rPr>
          <w:rStyle w:val="5"/>
          <w:rFonts w:hint="default" w:ascii="Arial" w:hAnsi="Arial" w:cs="Arial"/>
          <w:spacing w:val="15"/>
        </w:rPr>
        <w:t>案例：</w:t>
      </w:r>
      <w:r>
        <w:rPr>
          <w:rFonts w:hint="default" w:ascii="Arial" w:hAnsi="Arial" w:cs="Arial"/>
          <w:spacing w:val="15"/>
        </w:rPr>
        <w:t>邻近的牙科 CT 或激光设备工作时产生强电磁场，若显示屏的驱动芯片未做抗扰设计（如未加屏蔽罩或去耦电容），可能导致显示控制器误动作；电网中的浪涌或谐波（如手术室大功率设备启停）通过电源线侵入，使显示屏的电源模块输出不稳定，引发显示异常</w:t>
      </w:r>
    </w:p>
    <w:p w14:paraId="2C08D11F">
      <w:pPr>
        <w:pStyle w:val="2"/>
        <w:keepNext w:val="0"/>
        <w:keepLines w:val="0"/>
        <w:widowControl/>
        <w:suppressLineNumbers w:val="0"/>
        <w:spacing w:line="315" w:lineRule="atLeast"/>
        <w:jc w:val="both"/>
      </w:pPr>
    </w:p>
    <w:p w14:paraId="6B145CA0">
      <w:pPr>
        <w:pStyle w:val="2"/>
        <w:keepNext w:val="0"/>
        <w:keepLines w:val="0"/>
        <w:widowControl/>
        <w:suppressLineNumbers w:val="0"/>
        <w:spacing w:line="315" w:lineRule="atLeast"/>
      </w:pPr>
      <w:r>
        <w:rPr>
          <w:rStyle w:val="5"/>
          <w:rFonts w:hint="default" w:ascii="Arial" w:hAnsi="Arial" w:cs="Arial"/>
          <w:spacing w:val="15"/>
        </w:rPr>
        <w:t>电磁兼容（EMC）设计缺陷</w:t>
      </w:r>
    </w:p>
    <w:p w14:paraId="2357839C">
      <w:pPr>
        <w:pStyle w:val="2"/>
        <w:keepNext w:val="0"/>
        <w:keepLines w:val="0"/>
        <w:widowControl/>
        <w:suppressLineNumbers w:val="0"/>
        <w:spacing w:line="315" w:lineRule="atLeast"/>
      </w:pPr>
      <w:r>
        <w:rPr>
          <w:rStyle w:val="5"/>
          <w:rFonts w:hint="default" w:ascii="Arial" w:hAnsi="Arial" w:cs="Arial"/>
          <w:spacing w:val="15"/>
        </w:rPr>
        <w:t>原理：</w:t>
      </w:r>
      <w:r>
        <w:rPr>
          <w:rFonts w:hint="default" w:ascii="Arial" w:hAnsi="Arial" w:cs="Arial"/>
          <w:spacing w:val="15"/>
        </w:rPr>
        <w:t>设备内部各模块布局不合理，导致电磁耦合（如导线交叉干扰、接地环路）</w:t>
      </w:r>
    </w:p>
    <w:p w14:paraId="30D330E6">
      <w:pPr>
        <w:pStyle w:val="2"/>
        <w:keepNext w:val="0"/>
        <w:keepLines w:val="0"/>
        <w:widowControl/>
        <w:suppressLineNumbers w:val="0"/>
        <w:spacing w:line="315" w:lineRule="atLeast"/>
        <w:jc w:val="both"/>
      </w:pPr>
      <w:r>
        <w:rPr>
          <w:rStyle w:val="5"/>
          <w:rFonts w:hint="default" w:ascii="Arial" w:hAnsi="Arial" w:cs="Arial"/>
          <w:spacing w:val="15"/>
        </w:rPr>
        <w:t>案例：</w:t>
      </w:r>
      <w:r>
        <w:rPr>
          <w:rFonts w:hint="default" w:ascii="Arial" w:hAnsi="Arial" w:cs="Arial"/>
          <w:spacing w:val="15"/>
        </w:rPr>
        <w:t>显示屏的排线与电机驱动线平行布线，形成寄生电容耦合，电机高速运转时的脉冲信号串扰至显示信号，造成图像闪烁；接地系统设计不良（如数字地与模拟地混接），导致高频噪声通过地线回流至显示屏电路，干扰显示驱动芯片的基准电压</w:t>
      </w:r>
    </w:p>
    <w:p w14:paraId="4DCA0D6E">
      <w:pPr>
        <w:pStyle w:val="2"/>
        <w:keepNext w:val="0"/>
        <w:keepLines w:val="0"/>
        <w:widowControl/>
        <w:suppressLineNumbers w:val="0"/>
        <w:spacing w:line="315" w:lineRule="atLeast"/>
      </w:pPr>
    </w:p>
    <w:p w14:paraId="62F823C3">
      <w:pPr>
        <w:pStyle w:val="2"/>
        <w:keepNext w:val="0"/>
        <w:keepLines w:val="0"/>
        <w:widowControl/>
        <w:suppressLineNumbers w:val="0"/>
        <w:spacing w:line="315" w:lineRule="atLeast"/>
      </w:pPr>
      <w:r>
        <w:rPr>
          <w:rStyle w:val="5"/>
          <w:rFonts w:hint="default" w:ascii="Arial" w:hAnsi="Arial" w:cs="Arial"/>
          <w:spacing w:val="15"/>
        </w:rPr>
        <w:t>电子元件老化与 EMC 性能退化</w:t>
      </w:r>
    </w:p>
    <w:p w14:paraId="1E86D8E3">
      <w:pPr>
        <w:pStyle w:val="2"/>
        <w:keepNext w:val="0"/>
        <w:keepLines w:val="0"/>
        <w:widowControl/>
        <w:suppressLineNumbers w:val="0"/>
        <w:spacing w:line="315" w:lineRule="atLeast"/>
      </w:pPr>
      <w:r>
        <w:rPr>
          <w:rStyle w:val="5"/>
          <w:rFonts w:hint="default" w:ascii="Arial" w:hAnsi="Arial" w:cs="Arial"/>
          <w:spacing w:val="15"/>
        </w:rPr>
        <w:t>电容失效：</w:t>
      </w:r>
      <w:r>
        <w:rPr>
          <w:rFonts w:hint="default" w:ascii="Arial" w:hAnsi="Arial" w:cs="Arial"/>
          <w:spacing w:val="15"/>
        </w:rPr>
        <w:t>电解电容老化后 ESR增大，滤波能力下降，电源纹波加剧，可能引发显示屏供电不稳</w:t>
      </w:r>
    </w:p>
    <w:p w14:paraId="1FBF2164">
      <w:pPr>
        <w:pStyle w:val="2"/>
        <w:keepNext w:val="0"/>
        <w:keepLines w:val="0"/>
        <w:widowControl/>
        <w:suppressLineNumbers w:val="0"/>
        <w:spacing w:line="315" w:lineRule="atLeast"/>
      </w:pPr>
      <w:r>
        <w:rPr>
          <w:rStyle w:val="5"/>
          <w:rFonts w:hint="default" w:ascii="Arial" w:hAnsi="Arial" w:cs="Arial"/>
          <w:spacing w:val="15"/>
        </w:rPr>
        <w:t>屏蔽层腐蚀：</w:t>
      </w:r>
      <w:r>
        <w:rPr>
          <w:rFonts w:hint="default" w:ascii="Arial" w:hAnsi="Arial" w:cs="Arial"/>
          <w:spacing w:val="15"/>
        </w:rPr>
        <w:t>金属屏蔽罩或导电胶条老化后，电磁屏蔽效能降低，外部干扰更易侵入电路</w:t>
      </w:r>
    </w:p>
    <w:p w14:paraId="50A982BD">
      <w:pPr>
        <w:pStyle w:val="2"/>
        <w:keepNext w:val="0"/>
        <w:keepLines w:val="0"/>
        <w:widowControl/>
        <w:suppressLineNumbers w:val="0"/>
        <w:spacing w:line="315" w:lineRule="atLeast"/>
      </w:pPr>
      <w:r>
        <w:rPr>
          <w:rStyle w:val="5"/>
          <w:rFonts w:hint="default" w:ascii="Arial" w:hAnsi="Arial" w:cs="Arial"/>
          <w:spacing w:val="15"/>
        </w:rPr>
        <w:t>过热加剧老化：</w:t>
      </w:r>
      <w:r>
        <w:rPr>
          <w:rFonts w:hint="default" w:ascii="Arial" w:hAnsi="Arial" w:cs="Arial"/>
          <w:spacing w:val="15"/>
        </w:rPr>
        <w:t>EMI 滤波不足可能导致电路中感性元件（如电感）发热增加，加速周边元件（如电阻、芯片）的热老化</w:t>
      </w:r>
    </w:p>
    <w:p w14:paraId="580F96DA">
      <w:pPr>
        <w:pStyle w:val="2"/>
        <w:keepNext w:val="0"/>
        <w:keepLines w:val="0"/>
        <w:widowControl/>
        <w:suppressLineNumbers w:val="0"/>
        <w:spacing w:line="315" w:lineRule="atLeast"/>
      </w:pPr>
      <w:r>
        <w:rPr>
          <w:rStyle w:val="5"/>
          <w:rFonts w:hint="default" w:ascii="Arial" w:hAnsi="Arial" w:cs="Arial"/>
          <w:spacing w:val="15"/>
        </w:rPr>
        <w:t>电应力损伤：</w:t>
      </w:r>
      <w:r>
        <w:rPr>
          <w:rFonts w:hint="default" w:ascii="Arial" w:hAnsi="Arial" w:cs="Arial"/>
          <w:spacing w:val="15"/>
        </w:rPr>
        <w:t>持续的电磁干扰可能使芯片长期处于异常工作状态（如频繁复位、逻辑错误），导致内部晶体管磨损，缩短寿命</w:t>
      </w:r>
    </w:p>
    <w:p w14:paraId="730B9804">
      <w:pPr>
        <w:pStyle w:val="2"/>
        <w:keepNext w:val="0"/>
        <w:keepLines w:val="0"/>
        <w:widowControl/>
        <w:suppressLineNumbers w:val="0"/>
        <w:spacing w:line="315" w:lineRule="atLeast"/>
        <w:jc w:val="both"/>
      </w:pPr>
    </w:p>
    <w:p w14:paraId="3A31291B">
      <w:pPr>
        <w:pStyle w:val="2"/>
        <w:keepNext w:val="0"/>
        <w:keepLines w:val="0"/>
        <w:widowControl/>
        <w:suppressLineNumbers w:val="0"/>
        <w:spacing w:line="315" w:lineRule="atLeast"/>
        <w:jc w:val="both"/>
      </w:pPr>
      <w:r>
        <w:rPr>
          <w:rStyle w:val="5"/>
          <w:rFonts w:hint="default" w:ascii="Arial" w:hAnsi="Arial" w:cs="Arial"/>
          <w:spacing w:val="15"/>
        </w:rPr>
        <w:t>散热问题与EMC的耦合效应</w:t>
      </w:r>
    </w:p>
    <w:p w14:paraId="32B3D55E">
      <w:pPr>
        <w:pStyle w:val="2"/>
        <w:keepNext w:val="0"/>
        <w:keepLines w:val="0"/>
        <w:widowControl/>
        <w:suppressLineNumbers w:val="0"/>
        <w:spacing w:line="315" w:lineRule="atLeast"/>
      </w:pPr>
      <w:r>
        <w:rPr>
          <w:rStyle w:val="5"/>
          <w:rFonts w:hint="default" w:ascii="Arial" w:hAnsi="Arial" w:cs="Arial"/>
          <w:spacing w:val="15"/>
        </w:rPr>
        <w:t>散热不良引发 EMC 性能恶化：</w:t>
      </w:r>
      <w:r>
        <w:rPr>
          <w:rFonts w:hint="default" w:ascii="Arial" w:hAnsi="Arial" w:cs="Arial"/>
          <w:spacing w:val="15"/>
        </w:rPr>
        <w:t>元件温升导致参数漂移：高温下，电容容量、电阻阻值可能偏离标称值，导致滤波电路失效（如 RC 滤波器截止频率偏移），EMI 抑制能力下降</w:t>
      </w:r>
    </w:p>
    <w:p w14:paraId="5CE10618">
      <w:pPr>
        <w:pStyle w:val="2"/>
        <w:keepNext w:val="0"/>
        <w:keepLines w:val="0"/>
        <w:widowControl/>
        <w:suppressLineNumbers w:val="0"/>
        <w:spacing w:line="315" w:lineRule="atLeast"/>
      </w:pPr>
      <w:r>
        <w:rPr>
          <w:rStyle w:val="5"/>
          <w:rFonts w:hint="default" w:ascii="Arial" w:hAnsi="Arial" w:cs="Arial"/>
          <w:spacing w:val="15"/>
        </w:rPr>
        <w:t>热变形引发结构屏蔽失效：</w:t>
      </w:r>
      <w:r>
        <w:rPr>
          <w:rFonts w:hint="default" w:ascii="Arial" w:hAnsi="Arial" w:cs="Arial"/>
          <w:spacing w:val="15"/>
        </w:rPr>
        <w:t>塑料外壳受热变形后，屏蔽接缝间隙增大（如超过 λ/20，λ 为干扰波长），电磁泄漏增加</w:t>
      </w:r>
    </w:p>
    <w:p w14:paraId="247D598E">
      <w:pPr>
        <w:pStyle w:val="2"/>
        <w:keepNext w:val="0"/>
        <w:keepLines w:val="0"/>
        <w:widowControl/>
        <w:suppressLineNumbers w:val="0"/>
        <w:spacing w:line="315" w:lineRule="atLeast"/>
      </w:pPr>
      <w:r>
        <w:rPr>
          <w:rFonts w:hint="default" w:ascii="Arial" w:hAnsi="Arial" w:cs="Arial"/>
          <w:spacing w:val="15"/>
        </w:rPr>
        <w:t>EMC 设计影响</w:t>
      </w:r>
    </w:p>
    <w:p w14:paraId="56B3312D">
      <w:pPr>
        <w:pStyle w:val="2"/>
        <w:keepNext w:val="0"/>
        <w:keepLines w:val="0"/>
        <w:widowControl/>
        <w:suppressLineNumbers w:val="0"/>
        <w:spacing w:line="315" w:lineRule="atLeast"/>
      </w:pPr>
      <w:r>
        <w:rPr>
          <w:rStyle w:val="5"/>
          <w:rFonts w:hint="default" w:ascii="Arial" w:hAnsi="Arial" w:cs="Arial"/>
          <w:spacing w:val="15"/>
        </w:rPr>
        <w:t>散热路径：</w:t>
      </w:r>
      <w:r>
        <w:rPr>
          <w:rFonts w:hint="default" w:ascii="Arial" w:hAnsi="Arial" w:cs="Arial"/>
          <w:spacing w:val="15"/>
        </w:rPr>
        <w:t>屏蔽罩限制散热：全金属屏蔽可能阻碍空气流动，若未设计散热孔或热传导路径，导致元件在高温下工作，形成 “散热差→EMC 恶化→更易故障” 的循环</w:t>
      </w:r>
    </w:p>
    <w:p w14:paraId="59CB4188">
      <w:pPr>
        <w:pStyle w:val="2"/>
        <w:keepNext w:val="0"/>
        <w:keepLines w:val="0"/>
        <w:widowControl/>
        <w:suppressLineNumbers w:val="0"/>
        <w:spacing w:line="315" w:lineRule="atLeast"/>
      </w:pPr>
      <w:r>
        <w:rPr>
          <w:rStyle w:val="5"/>
          <w:rFonts w:hint="default" w:ascii="Arial" w:hAnsi="Arial" w:cs="Arial"/>
          <w:spacing w:val="15"/>
        </w:rPr>
        <w:t>接地与散热共路径：</w:t>
      </w:r>
      <w:r>
        <w:rPr>
          <w:rFonts w:hint="default" w:ascii="Arial" w:hAnsi="Arial" w:cs="Arial"/>
          <w:spacing w:val="15"/>
        </w:rPr>
        <w:t>不合理的接地设计（如通过散热片接地）可能使热噪声混入地线，加剧电磁干扰</w:t>
      </w:r>
    </w:p>
    <w:p w14:paraId="4A552686">
      <w:pPr>
        <w:keepNext w:val="0"/>
        <w:keepLines w:val="0"/>
        <w:widowControl/>
        <w:suppressLineNumbers w:val="0"/>
        <w:jc w:val="left"/>
      </w:pPr>
    </w:p>
    <w:p w14:paraId="509A561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2D2025A">
      <w:pPr>
        <w:keepNext w:val="0"/>
        <w:keepLines w:val="0"/>
        <w:widowControl/>
        <w:suppressLineNumbers w:val="0"/>
        <w:jc w:val="left"/>
      </w:pPr>
      <w:r>
        <w:rPr>
          <w:rStyle w:val="5"/>
          <w:rFonts w:ascii="宋体" w:hAnsi="宋体" w:eastAsia="宋体" w:cs="宋体"/>
          <w:kern w:val="0"/>
          <w:sz w:val="24"/>
          <w:szCs w:val="24"/>
          <w:lang w:val="en-US" w:eastAsia="zh-CN" w:bidi="ar"/>
        </w:rPr>
        <w:t>四.牙科设备EMC的解决思路</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vertAlign w:val="baseline"/>
          <w:lang w:val="en-US" w:eastAsia="zh-CN" w:bidi="ar"/>
        </w:rPr>
        <w:drawing>
          <wp:inline distT="0" distB="0" distL="114300" distR="114300">
            <wp:extent cx="4038600" cy="2257425"/>
            <wp:effectExtent l="0" t="0" r="0" b="9525"/>
            <wp:docPr id="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63"/>
                    <pic:cNvPicPr>
                      <a:picLocks noChangeAspect="1"/>
                    </pic:cNvPicPr>
                  </pic:nvPicPr>
                  <pic:blipFill>
                    <a:blip r:embed="rId8"/>
                    <a:stretch>
                      <a:fillRect/>
                    </a:stretch>
                  </pic:blipFill>
                  <pic:spPr>
                    <a:xfrm>
                      <a:off x="0" y="0"/>
                      <a:ext cx="4038600" cy="2257425"/>
                    </a:xfrm>
                    <a:prstGeom prst="rect">
                      <a:avLst/>
                    </a:prstGeom>
                    <a:noFill/>
                    <a:ln w="9525">
                      <a:noFill/>
                    </a:ln>
                  </pic:spPr>
                </pic:pic>
              </a:graphicData>
            </a:graphic>
          </wp:inline>
        </w:drawing>
      </w:r>
    </w:p>
    <w:p w14:paraId="6BBA4C75">
      <w:pPr>
        <w:pStyle w:val="2"/>
        <w:keepNext w:val="0"/>
        <w:keepLines w:val="0"/>
        <w:widowControl/>
        <w:suppressLineNumbers w:val="0"/>
        <w:jc w:val="left"/>
      </w:pPr>
      <w:r>
        <w:rPr>
          <w:color w:val="374AAE"/>
          <w:spacing w:val="23"/>
          <w:sz w:val="24"/>
          <w:szCs w:val="24"/>
        </w:rPr>
        <w:t>EMC设计引入类“DFMEA”</w:t>
      </w:r>
    </w:p>
    <w:p w14:paraId="384BCB7B">
      <w:pPr>
        <w:pStyle w:val="2"/>
        <w:keepNext w:val="0"/>
        <w:keepLines w:val="0"/>
        <w:widowControl/>
        <w:suppressLineNumbers w:val="0"/>
        <w:spacing w:line="315" w:lineRule="atLeast"/>
      </w:pPr>
      <w:r>
        <w:rPr>
          <w:rStyle w:val="5"/>
          <w:rFonts w:hint="default" w:ascii="Arial" w:hAnsi="Arial" w:cs="Arial"/>
          <w:spacing w:val="15"/>
        </w:rPr>
        <w:t>一、DFMEA 在 EMC 设计中的应用逻辑</w:t>
      </w:r>
    </w:p>
    <w:p w14:paraId="22DB1AA7">
      <w:pPr>
        <w:pStyle w:val="2"/>
        <w:keepNext w:val="0"/>
        <w:keepLines w:val="0"/>
        <w:widowControl/>
        <w:suppressLineNumbers w:val="0"/>
        <w:spacing w:line="315" w:lineRule="atLeast"/>
      </w:pPr>
      <w:r>
        <w:rPr>
          <w:rFonts w:hint="default" w:ascii="Arial" w:hAnsi="Arial" w:cs="Arial"/>
          <w:spacing w:val="15"/>
        </w:rPr>
        <w:t>核心目标：</w:t>
      </w:r>
    </w:p>
    <w:p w14:paraId="174D5C1A">
      <w:pPr>
        <w:pStyle w:val="2"/>
        <w:keepNext w:val="0"/>
        <w:keepLines w:val="0"/>
        <w:widowControl/>
        <w:suppressLineNumbers w:val="0"/>
        <w:spacing w:line="315" w:lineRule="atLeast"/>
      </w:pPr>
      <w:r>
        <w:rPr>
          <w:rFonts w:hint="default" w:ascii="Arial" w:hAnsi="Arial" w:cs="Arial"/>
          <w:spacing w:val="15"/>
        </w:rPr>
        <w:t>通过结构化分析，识别 EMC 设计中可能的失效模式、原因及影响，提前采取预防措施</w:t>
      </w:r>
    </w:p>
    <w:p w14:paraId="589B9DFB">
      <w:pPr>
        <w:pStyle w:val="2"/>
        <w:keepNext w:val="0"/>
        <w:keepLines w:val="0"/>
        <w:widowControl/>
        <w:suppressLineNumbers w:val="0"/>
        <w:spacing w:line="315" w:lineRule="atLeast"/>
      </w:pPr>
      <w:r>
        <w:rPr>
          <w:rFonts w:hint="default" w:ascii="Arial" w:hAnsi="Arial" w:cs="Arial"/>
          <w:spacing w:val="15"/>
        </w:rPr>
        <w:t>实施流程：</w:t>
      </w:r>
    </w:p>
    <w:p w14:paraId="41A4C2E5">
      <w:pPr>
        <w:pStyle w:val="2"/>
        <w:keepNext w:val="0"/>
        <w:keepLines w:val="0"/>
        <w:widowControl/>
        <w:suppressLineNumbers w:val="0"/>
        <w:spacing w:line="315" w:lineRule="atLeast"/>
      </w:pPr>
      <w:r>
        <w:rPr>
          <w:rFonts w:hint="default" w:ascii="Arial" w:hAnsi="Arial" w:cs="Arial"/>
          <w:spacing w:val="15"/>
        </w:rPr>
        <w:t>定义功能要求：明确设备 EMC 性能指标（如辐射限值、抗扰度等级）</w:t>
      </w:r>
    </w:p>
    <w:p w14:paraId="45E6BB07">
      <w:pPr>
        <w:pStyle w:val="2"/>
        <w:keepNext w:val="0"/>
        <w:keepLines w:val="0"/>
        <w:widowControl/>
        <w:suppressLineNumbers w:val="0"/>
        <w:spacing w:line="315" w:lineRule="atLeast"/>
      </w:pPr>
      <w:r>
        <w:rPr>
          <w:rFonts w:hint="default" w:ascii="Arial" w:hAnsi="Arial" w:cs="Arial"/>
          <w:spacing w:val="15"/>
        </w:rPr>
        <w:t>识别潜在失效模式：分析设计中可能导致 EMC 不达标的薄弱环节</w:t>
      </w:r>
    </w:p>
    <w:p w14:paraId="3153A9C7">
      <w:pPr>
        <w:pStyle w:val="2"/>
        <w:keepNext w:val="0"/>
        <w:keepLines w:val="0"/>
        <w:widowControl/>
        <w:suppressLineNumbers w:val="0"/>
        <w:spacing w:line="315" w:lineRule="atLeast"/>
      </w:pPr>
      <w:r>
        <w:rPr>
          <w:rFonts w:hint="default" w:ascii="Arial" w:hAnsi="Arial" w:cs="Arial"/>
          <w:spacing w:val="15"/>
        </w:rPr>
        <w:t>评估风险优先级：通过严重度（S）、发生度（O）、检测度（D）计算 RPN 值</w:t>
      </w:r>
    </w:p>
    <w:p w14:paraId="25AF13BF">
      <w:pPr>
        <w:pStyle w:val="2"/>
        <w:keepNext w:val="0"/>
        <w:keepLines w:val="0"/>
        <w:widowControl/>
        <w:suppressLineNumbers w:val="0"/>
        <w:spacing w:line="315" w:lineRule="atLeast"/>
      </w:pPr>
      <w:r>
        <w:rPr>
          <w:rFonts w:hint="default" w:ascii="Arial" w:hAnsi="Arial" w:cs="Arial"/>
          <w:spacing w:val="15"/>
        </w:rPr>
        <w:t>制定预防 / 探测措施：针对高风险项优化设计</w:t>
      </w:r>
    </w:p>
    <w:p w14:paraId="6C17A828">
      <w:pPr>
        <w:pStyle w:val="2"/>
        <w:keepNext w:val="0"/>
        <w:keepLines w:val="0"/>
        <w:widowControl/>
        <w:suppressLineNumbers w:val="0"/>
        <w:spacing w:line="315" w:lineRule="atLeast"/>
      </w:pPr>
      <w:r>
        <w:rPr>
          <w:rFonts w:hint="default" w:ascii="Arial" w:hAnsi="Arial" w:cs="Arial"/>
          <w:spacing w:val="15"/>
        </w:rPr>
        <w:t>跟踪验证：通过测试确认改进效果</w:t>
      </w:r>
    </w:p>
    <w:p w14:paraId="2847904C">
      <w:pPr>
        <w:pStyle w:val="2"/>
        <w:keepNext w:val="0"/>
        <w:keepLines w:val="0"/>
        <w:widowControl/>
        <w:suppressLineNumbers w:val="0"/>
        <w:spacing w:line="315" w:lineRule="atLeast"/>
        <w:jc w:val="both"/>
      </w:pPr>
    </w:p>
    <w:p w14:paraId="7FBC0860">
      <w:pPr>
        <w:pStyle w:val="2"/>
        <w:keepNext w:val="0"/>
        <w:keepLines w:val="0"/>
        <w:widowControl/>
        <w:suppressLineNumbers w:val="0"/>
        <w:spacing w:line="315" w:lineRule="atLeast"/>
      </w:pPr>
      <w:r>
        <w:rPr>
          <w:rStyle w:val="5"/>
          <w:rFonts w:hint="default" w:ascii="Arial" w:hAnsi="Arial" w:cs="Arial"/>
          <w:spacing w:val="15"/>
        </w:rPr>
        <w:t>二、EMC 设计中典型的 DFMEA 分析项</w:t>
      </w:r>
    </w:p>
    <w:tbl>
      <w:tblPr>
        <w:tblStyle w:val="3"/>
        <w:tblW w:w="621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1"/>
        <w:gridCol w:w="981"/>
        <w:gridCol w:w="493"/>
        <w:gridCol w:w="1241"/>
        <w:gridCol w:w="1275"/>
        <w:gridCol w:w="1559"/>
      </w:tblGrid>
      <w:tr w14:paraId="2F8BA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835" w:type="dxa"/>
            <w:shd w:val="clear" w:color="auto" w:fill="auto"/>
            <w:vAlign w:val="center"/>
          </w:tcPr>
          <w:p w14:paraId="224A05EC">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系统/组件</w:t>
            </w:r>
          </w:p>
        </w:tc>
        <w:tc>
          <w:tcPr>
            <w:tcW w:w="880" w:type="dxa"/>
            <w:shd w:val="clear" w:color="auto" w:fill="auto"/>
            <w:vAlign w:val="center"/>
          </w:tcPr>
          <w:p w14:paraId="6BF6D45B">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潜在失效模式</w:t>
            </w:r>
          </w:p>
        </w:tc>
        <w:tc>
          <w:tcPr>
            <w:tcW w:w="848" w:type="dxa"/>
            <w:shd w:val="clear" w:color="auto" w:fill="auto"/>
            <w:vAlign w:val="center"/>
          </w:tcPr>
          <w:p w14:paraId="3E1DB786">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失效影响</w:t>
            </w:r>
          </w:p>
        </w:tc>
        <w:tc>
          <w:tcPr>
            <w:tcW w:w="1110" w:type="dxa"/>
            <w:shd w:val="clear" w:color="auto" w:fill="auto"/>
            <w:vAlign w:val="center"/>
          </w:tcPr>
          <w:p w14:paraId="352EB7C1">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可能原因</w:t>
            </w:r>
          </w:p>
        </w:tc>
        <w:tc>
          <w:tcPr>
            <w:tcW w:w="1062" w:type="dxa"/>
            <w:shd w:val="clear" w:color="auto" w:fill="auto"/>
            <w:vAlign w:val="center"/>
          </w:tcPr>
          <w:p w14:paraId="4FB628DC">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预防措施</w:t>
            </w:r>
          </w:p>
        </w:tc>
        <w:tc>
          <w:tcPr>
            <w:tcW w:w="1158" w:type="dxa"/>
            <w:shd w:val="clear" w:color="auto" w:fill="auto"/>
            <w:vAlign w:val="center"/>
          </w:tcPr>
          <w:p w14:paraId="65376D56">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验证措施</w:t>
            </w:r>
          </w:p>
        </w:tc>
      </w:tr>
      <w:tr w14:paraId="43D84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shd w:val="clear" w:color="auto" w:fill="auto"/>
            <w:vAlign w:val="center"/>
          </w:tcPr>
          <w:p w14:paraId="3F602F1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电源模块</w:t>
            </w:r>
          </w:p>
        </w:tc>
        <w:tc>
          <w:tcPr>
            <w:tcW w:w="0" w:type="auto"/>
            <w:shd w:val="clear" w:color="auto" w:fill="auto"/>
            <w:vAlign w:val="center"/>
          </w:tcPr>
          <w:p w14:paraId="209BF852">
            <w:pPr>
              <w:pStyle w:val="2"/>
              <w:keepNext w:val="0"/>
              <w:keepLines w:val="0"/>
              <w:widowControl/>
              <w:suppressLineNumbers w:val="0"/>
              <w:spacing w:line="210" w:lineRule="atLeast"/>
              <w:jc w:val="center"/>
            </w:pPr>
            <w:r>
              <w:rPr>
                <w:rFonts w:hint="default" w:ascii="Arial" w:hAnsi="Arial" w:cs="Arial"/>
                <w:color w:val="212122"/>
                <w:spacing w:val="0"/>
                <w:sz w:val="18"/>
                <w:szCs w:val="18"/>
              </w:rPr>
              <w:t>传导发射超标</w:t>
            </w:r>
          </w:p>
        </w:tc>
        <w:tc>
          <w:tcPr>
            <w:tcW w:w="0" w:type="auto"/>
            <w:shd w:val="clear" w:color="auto" w:fill="auto"/>
            <w:vAlign w:val="center"/>
          </w:tcPr>
          <w:p w14:paraId="60764B7E">
            <w:pPr>
              <w:pStyle w:val="2"/>
              <w:keepNext w:val="0"/>
              <w:keepLines w:val="0"/>
              <w:widowControl/>
              <w:suppressLineNumbers w:val="0"/>
              <w:spacing w:line="210" w:lineRule="atLeast"/>
              <w:jc w:val="center"/>
            </w:pPr>
            <w:r>
              <w:rPr>
                <w:rFonts w:hint="default" w:ascii="Arial" w:hAnsi="Arial" w:cs="Arial"/>
                <w:color w:val="212122"/>
                <w:spacing w:val="0"/>
                <w:sz w:val="18"/>
                <w:szCs w:val="18"/>
              </w:rPr>
              <w:t>干扰电网或其他设备</w:t>
            </w:r>
          </w:p>
        </w:tc>
        <w:tc>
          <w:tcPr>
            <w:tcW w:w="0" w:type="auto"/>
            <w:shd w:val="clear" w:color="auto" w:fill="auto"/>
            <w:vAlign w:val="center"/>
          </w:tcPr>
          <w:p w14:paraId="06404E65">
            <w:pPr>
              <w:pStyle w:val="2"/>
              <w:keepNext w:val="0"/>
              <w:keepLines w:val="0"/>
              <w:widowControl/>
              <w:suppressLineNumbers w:val="0"/>
              <w:spacing w:line="210" w:lineRule="atLeast"/>
              <w:jc w:val="center"/>
            </w:pPr>
            <w:r>
              <w:rPr>
                <w:rFonts w:hint="default" w:ascii="Arial" w:hAnsi="Arial" w:cs="Arial"/>
                <w:color w:val="212122"/>
                <w:spacing w:val="0"/>
                <w:sz w:val="18"/>
                <w:szCs w:val="18"/>
              </w:rPr>
              <w:t>滤波电路设计不足、共模扼流圈饱和</w:t>
            </w:r>
          </w:p>
        </w:tc>
        <w:tc>
          <w:tcPr>
            <w:tcW w:w="0" w:type="auto"/>
            <w:shd w:val="clear" w:color="auto" w:fill="auto"/>
            <w:vAlign w:val="center"/>
          </w:tcPr>
          <w:p w14:paraId="471B9C20">
            <w:pPr>
              <w:pStyle w:val="2"/>
              <w:keepNext w:val="0"/>
              <w:keepLines w:val="0"/>
              <w:widowControl/>
              <w:suppressLineNumbers w:val="0"/>
              <w:spacing w:line="210" w:lineRule="atLeast"/>
              <w:jc w:val="center"/>
            </w:pPr>
            <w:r>
              <w:rPr>
                <w:rFonts w:hint="default" w:ascii="Arial" w:hAnsi="Arial" w:cs="Arial"/>
                <w:color w:val="212122"/>
                <w:spacing w:val="0"/>
                <w:sz w:val="18"/>
                <w:szCs w:val="18"/>
              </w:rPr>
              <w:t>增加 EMI 滤波器阶数、选用高饱和电流磁芯</w:t>
            </w:r>
          </w:p>
        </w:tc>
        <w:tc>
          <w:tcPr>
            <w:tcW w:w="0" w:type="auto"/>
            <w:shd w:val="clear" w:color="auto" w:fill="auto"/>
            <w:vAlign w:val="center"/>
          </w:tcPr>
          <w:p w14:paraId="32671631">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电源阻抗稳定网络（LISN）测试</w:t>
            </w:r>
          </w:p>
        </w:tc>
      </w:tr>
      <w:tr w14:paraId="125E4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shd w:val="clear" w:color="auto" w:fill="auto"/>
            <w:vAlign w:val="center"/>
          </w:tcPr>
          <w:p w14:paraId="74D53071">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电机驱动</w:t>
            </w:r>
          </w:p>
        </w:tc>
        <w:tc>
          <w:tcPr>
            <w:tcW w:w="0" w:type="auto"/>
            <w:shd w:val="clear" w:color="auto" w:fill="auto"/>
            <w:vAlign w:val="center"/>
          </w:tcPr>
          <w:p w14:paraId="7F08E759">
            <w:pPr>
              <w:pStyle w:val="2"/>
              <w:keepNext w:val="0"/>
              <w:keepLines w:val="0"/>
              <w:widowControl/>
              <w:suppressLineNumbers w:val="0"/>
              <w:spacing w:line="210" w:lineRule="atLeast"/>
              <w:jc w:val="center"/>
            </w:pPr>
            <w:r>
              <w:rPr>
                <w:rFonts w:hint="default" w:ascii="Arial" w:hAnsi="Arial" w:cs="Arial"/>
                <w:color w:val="212122"/>
                <w:spacing w:val="0"/>
                <w:sz w:val="18"/>
                <w:szCs w:val="18"/>
              </w:rPr>
              <w:t>高频辐射干扰</w:t>
            </w:r>
          </w:p>
        </w:tc>
        <w:tc>
          <w:tcPr>
            <w:tcW w:w="0" w:type="auto"/>
            <w:shd w:val="clear" w:color="auto" w:fill="auto"/>
            <w:vAlign w:val="center"/>
          </w:tcPr>
          <w:p w14:paraId="1AF2E226">
            <w:pPr>
              <w:pStyle w:val="2"/>
              <w:keepNext w:val="0"/>
              <w:keepLines w:val="0"/>
              <w:widowControl/>
              <w:suppressLineNumbers w:val="0"/>
              <w:spacing w:line="210" w:lineRule="atLeast"/>
              <w:jc w:val="center"/>
            </w:pPr>
            <w:r>
              <w:rPr>
                <w:rFonts w:hint="default" w:ascii="Arial" w:hAnsi="Arial" w:cs="Arial"/>
                <w:color w:val="212122"/>
                <w:spacing w:val="0"/>
                <w:sz w:val="18"/>
                <w:szCs w:val="18"/>
              </w:rPr>
              <w:t>影响显示屏或传感器信号</w:t>
            </w:r>
          </w:p>
        </w:tc>
        <w:tc>
          <w:tcPr>
            <w:tcW w:w="0" w:type="auto"/>
            <w:shd w:val="clear" w:color="auto" w:fill="auto"/>
            <w:vAlign w:val="center"/>
          </w:tcPr>
          <w:p w14:paraId="27DB31CB">
            <w:pPr>
              <w:pStyle w:val="2"/>
              <w:keepNext w:val="0"/>
              <w:keepLines w:val="0"/>
              <w:widowControl/>
              <w:suppressLineNumbers w:val="0"/>
              <w:spacing w:line="210" w:lineRule="atLeast"/>
              <w:jc w:val="center"/>
            </w:pPr>
            <w:r>
              <w:rPr>
                <w:rFonts w:hint="default" w:ascii="Arial" w:hAnsi="Arial" w:cs="Arial"/>
                <w:color w:val="212122"/>
                <w:spacing w:val="0"/>
                <w:sz w:val="18"/>
                <w:szCs w:val="18"/>
              </w:rPr>
              <w:t>电机电刷火花、PWM 调制频率选择不当</w:t>
            </w:r>
          </w:p>
        </w:tc>
        <w:tc>
          <w:tcPr>
            <w:tcW w:w="0" w:type="auto"/>
            <w:shd w:val="clear" w:color="auto" w:fill="auto"/>
            <w:vAlign w:val="center"/>
          </w:tcPr>
          <w:p w14:paraId="14078C7C">
            <w:pPr>
              <w:pStyle w:val="2"/>
              <w:keepNext w:val="0"/>
              <w:keepLines w:val="0"/>
              <w:widowControl/>
              <w:suppressLineNumbers w:val="0"/>
              <w:spacing w:line="210" w:lineRule="atLeast"/>
              <w:jc w:val="center"/>
            </w:pPr>
            <w:r>
              <w:rPr>
                <w:rFonts w:hint="default" w:ascii="Arial" w:hAnsi="Arial" w:cs="Arial"/>
                <w:color w:val="212122"/>
                <w:spacing w:val="0"/>
                <w:sz w:val="18"/>
                <w:szCs w:val="18"/>
              </w:rPr>
              <w:t>增加 RC 缓冲电路、使用正弦波驱动技术</w:t>
            </w:r>
          </w:p>
        </w:tc>
        <w:tc>
          <w:tcPr>
            <w:tcW w:w="0" w:type="auto"/>
            <w:shd w:val="clear" w:color="auto" w:fill="auto"/>
            <w:vAlign w:val="center"/>
          </w:tcPr>
          <w:p w14:paraId="53B1D3A4">
            <w:pPr>
              <w:pStyle w:val="2"/>
              <w:keepNext w:val="0"/>
              <w:keepLines w:val="0"/>
              <w:widowControl/>
              <w:suppressLineNumbers w:val="0"/>
              <w:spacing w:line="210" w:lineRule="atLeast"/>
              <w:jc w:val="center"/>
            </w:pPr>
            <w:r>
              <w:rPr>
                <w:rFonts w:hint="default" w:ascii="Arial" w:hAnsi="Arial" w:cs="Arial"/>
                <w:color w:val="212122"/>
                <w:spacing w:val="0"/>
                <w:sz w:val="18"/>
                <w:szCs w:val="18"/>
              </w:rPr>
              <w:t>近场探头扫描辐射热点</w:t>
            </w:r>
          </w:p>
        </w:tc>
      </w:tr>
      <w:tr w14:paraId="782F2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shd w:val="clear" w:color="auto" w:fill="auto"/>
            <w:vAlign w:val="center"/>
          </w:tcPr>
          <w:p w14:paraId="0033613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显示屏</w:t>
            </w:r>
          </w:p>
        </w:tc>
        <w:tc>
          <w:tcPr>
            <w:tcW w:w="0" w:type="auto"/>
            <w:shd w:val="clear" w:color="auto" w:fill="auto"/>
            <w:vAlign w:val="center"/>
          </w:tcPr>
          <w:p w14:paraId="0DC65CEC">
            <w:pPr>
              <w:pStyle w:val="2"/>
              <w:keepNext w:val="0"/>
              <w:keepLines w:val="0"/>
              <w:widowControl/>
              <w:suppressLineNumbers w:val="0"/>
              <w:spacing w:line="210" w:lineRule="atLeast"/>
              <w:jc w:val="center"/>
            </w:pPr>
            <w:r>
              <w:rPr>
                <w:rFonts w:hint="default" w:ascii="Arial" w:hAnsi="Arial" w:cs="Arial"/>
                <w:color w:val="212122"/>
                <w:spacing w:val="0"/>
                <w:sz w:val="18"/>
                <w:szCs w:val="18"/>
              </w:rPr>
              <w:t>静电放电（ESD）导致花屏</w:t>
            </w:r>
          </w:p>
        </w:tc>
        <w:tc>
          <w:tcPr>
            <w:tcW w:w="0" w:type="auto"/>
            <w:shd w:val="clear" w:color="auto" w:fill="auto"/>
            <w:vAlign w:val="center"/>
          </w:tcPr>
          <w:p w14:paraId="3DF5C95D">
            <w:pPr>
              <w:pStyle w:val="2"/>
              <w:keepNext w:val="0"/>
              <w:keepLines w:val="0"/>
              <w:widowControl/>
              <w:suppressLineNumbers w:val="0"/>
              <w:spacing w:line="210" w:lineRule="atLeast"/>
              <w:jc w:val="center"/>
            </w:pPr>
            <w:r>
              <w:rPr>
                <w:rFonts w:hint="default" w:ascii="Arial" w:hAnsi="Arial" w:cs="Arial"/>
                <w:color w:val="212122"/>
                <w:spacing w:val="0"/>
                <w:sz w:val="18"/>
                <w:szCs w:val="18"/>
              </w:rPr>
              <w:t>影响医生操作判断</w:t>
            </w:r>
          </w:p>
        </w:tc>
        <w:tc>
          <w:tcPr>
            <w:tcW w:w="0" w:type="auto"/>
            <w:shd w:val="clear" w:color="auto" w:fill="auto"/>
            <w:vAlign w:val="center"/>
          </w:tcPr>
          <w:p w14:paraId="25C92357">
            <w:pPr>
              <w:pStyle w:val="2"/>
              <w:keepNext w:val="0"/>
              <w:keepLines w:val="0"/>
              <w:widowControl/>
              <w:suppressLineNumbers w:val="0"/>
              <w:spacing w:line="210" w:lineRule="atLeast"/>
              <w:jc w:val="center"/>
            </w:pPr>
            <w:r>
              <w:rPr>
                <w:rFonts w:hint="default" w:ascii="Arial" w:hAnsi="Arial" w:cs="Arial"/>
                <w:color w:val="212122"/>
                <w:spacing w:val="0"/>
                <w:sz w:val="18"/>
                <w:szCs w:val="18"/>
              </w:rPr>
              <w:t>屏幕未接地、缺少 ESD 保护器件</w:t>
            </w:r>
          </w:p>
        </w:tc>
        <w:tc>
          <w:tcPr>
            <w:tcW w:w="0" w:type="auto"/>
            <w:shd w:val="clear" w:color="auto" w:fill="auto"/>
            <w:vAlign w:val="center"/>
          </w:tcPr>
          <w:p w14:paraId="45FFD6B5">
            <w:pPr>
              <w:pStyle w:val="2"/>
              <w:keepNext w:val="0"/>
              <w:keepLines w:val="0"/>
              <w:widowControl/>
              <w:suppressLineNumbers w:val="0"/>
              <w:spacing w:line="210" w:lineRule="atLeast"/>
              <w:jc w:val="center"/>
            </w:pPr>
            <w:r>
              <w:rPr>
                <w:rFonts w:hint="default" w:ascii="Arial" w:hAnsi="Arial" w:cs="Arial"/>
                <w:color w:val="212122"/>
                <w:spacing w:val="0"/>
                <w:sz w:val="18"/>
                <w:szCs w:val="18"/>
              </w:rPr>
              <w:t>增加 TVS 二极管阵列、金属边框接地</w:t>
            </w:r>
          </w:p>
        </w:tc>
        <w:tc>
          <w:tcPr>
            <w:tcW w:w="0" w:type="auto"/>
            <w:shd w:val="clear" w:color="auto" w:fill="auto"/>
            <w:vAlign w:val="center"/>
          </w:tcPr>
          <w:p w14:paraId="349D3520">
            <w:pPr>
              <w:pStyle w:val="2"/>
              <w:keepNext w:val="0"/>
              <w:keepLines w:val="0"/>
              <w:widowControl/>
              <w:suppressLineNumbers w:val="0"/>
              <w:spacing w:line="210" w:lineRule="atLeast"/>
              <w:jc w:val="center"/>
            </w:pPr>
            <w:r>
              <w:rPr>
                <w:rFonts w:hint="default" w:ascii="Arial" w:hAnsi="Arial" w:cs="Arial"/>
                <w:color w:val="212122"/>
                <w:spacing w:val="0"/>
                <w:sz w:val="18"/>
                <w:szCs w:val="18"/>
              </w:rPr>
              <w:t>IEC 61000-4-2 ESD</w:t>
            </w:r>
          </w:p>
        </w:tc>
      </w:tr>
      <w:tr w14:paraId="1953A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shd w:val="clear" w:color="auto" w:fill="auto"/>
            <w:vAlign w:val="center"/>
          </w:tcPr>
          <w:p w14:paraId="28AF6015">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传感器接口</w:t>
            </w:r>
          </w:p>
        </w:tc>
        <w:tc>
          <w:tcPr>
            <w:tcW w:w="0" w:type="auto"/>
            <w:shd w:val="clear" w:color="auto" w:fill="auto"/>
            <w:vAlign w:val="center"/>
          </w:tcPr>
          <w:p w14:paraId="6C799AA0">
            <w:pPr>
              <w:pStyle w:val="2"/>
              <w:keepNext w:val="0"/>
              <w:keepLines w:val="0"/>
              <w:widowControl/>
              <w:suppressLineNumbers w:val="0"/>
              <w:spacing w:line="210" w:lineRule="atLeast"/>
              <w:jc w:val="center"/>
            </w:pPr>
            <w:r>
              <w:rPr>
                <w:rFonts w:hint="default" w:ascii="Arial" w:hAnsi="Arial" w:cs="Arial"/>
                <w:color w:val="212122"/>
                <w:spacing w:val="0"/>
                <w:sz w:val="18"/>
                <w:szCs w:val="18"/>
              </w:rPr>
              <w:t>射频干扰导致信号失真</w:t>
            </w:r>
          </w:p>
        </w:tc>
        <w:tc>
          <w:tcPr>
            <w:tcW w:w="0" w:type="auto"/>
            <w:shd w:val="clear" w:color="auto" w:fill="auto"/>
            <w:vAlign w:val="center"/>
          </w:tcPr>
          <w:p w14:paraId="48725345">
            <w:pPr>
              <w:pStyle w:val="2"/>
              <w:keepNext w:val="0"/>
              <w:keepLines w:val="0"/>
              <w:widowControl/>
              <w:suppressLineNumbers w:val="0"/>
              <w:spacing w:line="210" w:lineRule="atLeast"/>
              <w:jc w:val="center"/>
            </w:pPr>
            <w:r>
              <w:rPr>
                <w:rFonts w:hint="default" w:ascii="Arial" w:hAnsi="Arial" w:cs="Arial"/>
                <w:color w:val="212122"/>
                <w:spacing w:val="0"/>
                <w:sz w:val="18"/>
                <w:szCs w:val="18"/>
              </w:rPr>
              <w:t>测量数据不准确</w:t>
            </w:r>
          </w:p>
        </w:tc>
        <w:tc>
          <w:tcPr>
            <w:tcW w:w="0" w:type="auto"/>
            <w:shd w:val="clear" w:color="auto" w:fill="auto"/>
            <w:vAlign w:val="center"/>
          </w:tcPr>
          <w:p w14:paraId="04332052">
            <w:pPr>
              <w:pStyle w:val="2"/>
              <w:keepNext w:val="0"/>
              <w:keepLines w:val="0"/>
              <w:widowControl/>
              <w:suppressLineNumbers w:val="0"/>
              <w:spacing w:line="210" w:lineRule="atLeast"/>
              <w:jc w:val="center"/>
            </w:pPr>
            <w:r>
              <w:rPr>
                <w:rFonts w:hint="default" w:ascii="Arial" w:hAnsi="Arial" w:cs="Arial"/>
                <w:color w:val="212122"/>
                <w:spacing w:val="0"/>
                <w:sz w:val="18"/>
                <w:szCs w:val="18"/>
              </w:rPr>
              <w:t>差分信号线间距过大、未加共模滤波</w:t>
            </w:r>
          </w:p>
        </w:tc>
        <w:tc>
          <w:tcPr>
            <w:tcW w:w="0" w:type="auto"/>
            <w:shd w:val="clear" w:color="auto" w:fill="auto"/>
            <w:vAlign w:val="center"/>
          </w:tcPr>
          <w:p w14:paraId="508296BD">
            <w:pPr>
              <w:pStyle w:val="2"/>
              <w:keepNext w:val="0"/>
              <w:keepLines w:val="0"/>
              <w:widowControl/>
              <w:suppressLineNumbers w:val="0"/>
              <w:spacing w:line="210" w:lineRule="atLeast"/>
              <w:jc w:val="center"/>
            </w:pPr>
            <w:r>
              <w:rPr>
                <w:rFonts w:hint="default" w:ascii="Arial" w:hAnsi="Arial" w:cs="Arial"/>
                <w:color w:val="212122"/>
                <w:spacing w:val="0"/>
                <w:sz w:val="18"/>
                <w:szCs w:val="18"/>
              </w:rPr>
              <w:t>减小差分对间距、增加共模电感</w:t>
            </w:r>
          </w:p>
        </w:tc>
        <w:tc>
          <w:tcPr>
            <w:tcW w:w="0" w:type="auto"/>
            <w:shd w:val="clear" w:color="auto" w:fill="auto"/>
            <w:vAlign w:val="center"/>
          </w:tcPr>
          <w:p w14:paraId="66C41550">
            <w:pPr>
              <w:pStyle w:val="2"/>
              <w:keepNext w:val="0"/>
              <w:keepLines w:val="0"/>
              <w:widowControl/>
              <w:suppressLineNumbers w:val="0"/>
              <w:spacing w:line="210" w:lineRule="atLeast"/>
              <w:jc w:val="center"/>
            </w:pPr>
            <w:r>
              <w:rPr>
                <w:rFonts w:hint="default" w:ascii="Arial" w:hAnsi="Arial" w:cs="Arial"/>
                <w:color w:val="212122"/>
                <w:spacing w:val="0"/>
                <w:sz w:val="18"/>
                <w:szCs w:val="18"/>
              </w:rPr>
              <w:t>射频电磁场抗扰度（RS）测试</w:t>
            </w:r>
          </w:p>
        </w:tc>
      </w:tr>
      <w:tr w14:paraId="18E43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blCellSpacing w:w="0" w:type="dxa"/>
        </w:trPr>
        <w:tc>
          <w:tcPr>
            <w:tcW w:w="0" w:type="auto"/>
            <w:shd w:val="clear" w:color="auto" w:fill="auto"/>
            <w:vAlign w:val="center"/>
          </w:tcPr>
          <w:p w14:paraId="1A9D880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PCB 设计</w:t>
            </w:r>
          </w:p>
        </w:tc>
        <w:tc>
          <w:tcPr>
            <w:tcW w:w="0" w:type="auto"/>
            <w:shd w:val="clear" w:color="auto" w:fill="auto"/>
            <w:vAlign w:val="center"/>
          </w:tcPr>
          <w:p w14:paraId="4D90A7E5">
            <w:pPr>
              <w:pStyle w:val="2"/>
              <w:keepNext w:val="0"/>
              <w:keepLines w:val="0"/>
              <w:widowControl/>
              <w:suppressLineNumbers w:val="0"/>
              <w:spacing w:line="210" w:lineRule="atLeast"/>
              <w:jc w:val="center"/>
            </w:pPr>
            <w:r>
              <w:rPr>
                <w:rFonts w:hint="default" w:ascii="Arial" w:hAnsi="Arial" w:cs="Arial"/>
                <w:color w:val="212122"/>
                <w:spacing w:val="0"/>
                <w:sz w:val="18"/>
                <w:szCs w:val="18"/>
              </w:rPr>
              <w:t>信号串扰导致误触发</w:t>
            </w:r>
          </w:p>
        </w:tc>
        <w:tc>
          <w:tcPr>
            <w:tcW w:w="0" w:type="auto"/>
            <w:shd w:val="clear" w:color="auto" w:fill="auto"/>
            <w:vAlign w:val="center"/>
          </w:tcPr>
          <w:p w14:paraId="2BCE4719">
            <w:pPr>
              <w:pStyle w:val="2"/>
              <w:keepNext w:val="0"/>
              <w:keepLines w:val="0"/>
              <w:widowControl/>
              <w:suppressLineNumbers w:val="0"/>
              <w:spacing w:line="210" w:lineRule="atLeast"/>
              <w:jc w:val="center"/>
            </w:pPr>
            <w:r>
              <w:rPr>
                <w:rFonts w:hint="default" w:ascii="Arial" w:hAnsi="Arial" w:cs="Arial"/>
                <w:color w:val="212122"/>
                <w:spacing w:val="0"/>
                <w:sz w:val="18"/>
                <w:szCs w:val="18"/>
              </w:rPr>
              <w:t>设备功能异常</w:t>
            </w:r>
          </w:p>
        </w:tc>
        <w:tc>
          <w:tcPr>
            <w:tcW w:w="0" w:type="auto"/>
            <w:shd w:val="clear" w:color="auto" w:fill="auto"/>
            <w:vAlign w:val="center"/>
          </w:tcPr>
          <w:p w14:paraId="22AC3407">
            <w:pPr>
              <w:pStyle w:val="2"/>
              <w:keepNext w:val="0"/>
              <w:keepLines w:val="0"/>
              <w:widowControl/>
              <w:suppressLineNumbers w:val="0"/>
              <w:spacing w:line="210" w:lineRule="atLeast"/>
              <w:jc w:val="center"/>
            </w:pPr>
            <w:r>
              <w:rPr>
                <w:rFonts w:hint="default" w:ascii="Arial" w:hAnsi="Arial" w:cs="Arial"/>
                <w:color w:val="212122"/>
                <w:spacing w:val="0"/>
                <w:sz w:val="18"/>
                <w:szCs w:val="18"/>
              </w:rPr>
              <w:t>高速信号线与敏感线平行走线</w:t>
            </w:r>
          </w:p>
        </w:tc>
        <w:tc>
          <w:tcPr>
            <w:tcW w:w="0" w:type="auto"/>
            <w:shd w:val="clear" w:color="auto" w:fill="auto"/>
            <w:vAlign w:val="center"/>
          </w:tcPr>
          <w:p w14:paraId="6855BDE2">
            <w:pPr>
              <w:pStyle w:val="2"/>
              <w:keepNext w:val="0"/>
              <w:keepLines w:val="0"/>
              <w:widowControl/>
              <w:suppressLineNumbers w:val="0"/>
              <w:spacing w:line="210" w:lineRule="atLeast"/>
              <w:jc w:val="center"/>
            </w:pPr>
            <w:r>
              <w:rPr>
                <w:rFonts w:hint="default" w:ascii="Arial" w:hAnsi="Arial" w:cs="Arial"/>
                <w:color w:val="212122"/>
                <w:spacing w:val="0"/>
                <w:sz w:val="18"/>
                <w:szCs w:val="18"/>
              </w:rPr>
              <w:t>增加地平面隔离、关键信号包地处理</w:t>
            </w:r>
          </w:p>
        </w:tc>
        <w:tc>
          <w:tcPr>
            <w:tcW w:w="0" w:type="auto"/>
            <w:shd w:val="clear" w:color="auto" w:fill="auto"/>
            <w:vAlign w:val="center"/>
          </w:tcPr>
          <w:p w14:paraId="64F99520">
            <w:pPr>
              <w:pStyle w:val="2"/>
              <w:keepNext w:val="0"/>
              <w:keepLines w:val="0"/>
              <w:widowControl/>
              <w:suppressLineNumbers w:val="0"/>
              <w:spacing w:line="210" w:lineRule="atLeast"/>
              <w:jc w:val="center"/>
            </w:pPr>
            <w:r>
              <w:rPr>
                <w:rFonts w:hint="default" w:ascii="Arial" w:hAnsi="Arial" w:cs="Arial"/>
                <w:color w:val="212122"/>
                <w:spacing w:val="0"/>
                <w:sz w:val="18"/>
                <w:szCs w:val="18"/>
              </w:rPr>
              <w:t>时域反射仪（TDR）检测阻抗不连续性</w:t>
            </w:r>
          </w:p>
        </w:tc>
      </w:tr>
      <w:tr w14:paraId="4BBDF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5" w:hRule="atLeast"/>
          <w:tblCellSpacing w:w="0" w:type="dxa"/>
        </w:trPr>
        <w:tc>
          <w:tcPr>
            <w:tcW w:w="0" w:type="auto"/>
            <w:shd w:val="clear" w:color="auto" w:fill="auto"/>
            <w:vAlign w:val="center"/>
          </w:tcPr>
          <w:p w14:paraId="0228486E">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外壳结构</w:t>
            </w:r>
          </w:p>
        </w:tc>
        <w:tc>
          <w:tcPr>
            <w:tcW w:w="0" w:type="auto"/>
            <w:shd w:val="clear" w:color="auto" w:fill="auto"/>
            <w:vAlign w:val="center"/>
          </w:tcPr>
          <w:p w14:paraId="3493556B">
            <w:pPr>
              <w:pStyle w:val="2"/>
              <w:keepNext w:val="0"/>
              <w:keepLines w:val="0"/>
              <w:widowControl/>
              <w:suppressLineNumbers w:val="0"/>
              <w:spacing w:line="210" w:lineRule="atLeast"/>
              <w:jc w:val="center"/>
            </w:pPr>
            <w:r>
              <w:rPr>
                <w:rFonts w:hint="default" w:ascii="Arial" w:hAnsi="Arial" w:cs="Arial"/>
                <w:color w:val="212122"/>
                <w:spacing w:val="0"/>
                <w:sz w:val="18"/>
                <w:szCs w:val="18"/>
              </w:rPr>
              <w:t>接缝处电磁泄漏</w:t>
            </w:r>
          </w:p>
        </w:tc>
        <w:tc>
          <w:tcPr>
            <w:tcW w:w="0" w:type="auto"/>
            <w:shd w:val="clear" w:color="auto" w:fill="auto"/>
            <w:vAlign w:val="center"/>
          </w:tcPr>
          <w:p w14:paraId="5707405F">
            <w:pPr>
              <w:pStyle w:val="2"/>
              <w:keepNext w:val="0"/>
              <w:keepLines w:val="0"/>
              <w:widowControl/>
              <w:suppressLineNumbers w:val="0"/>
              <w:spacing w:line="210" w:lineRule="atLeast"/>
              <w:jc w:val="center"/>
            </w:pPr>
            <w:r>
              <w:rPr>
                <w:rFonts w:hint="default" w:ascii="Arial" w:hAnsi="Arial" w:cs="Arial"/>
                <w:color w:val="212122"/>
                <w:spacing w:val="0"/>
                <w:sz w:val="18"/>
                <w:szCs w:val="18"/>
              </w:rPr>
              <w:t>辐射发射超标</w:t>
            </w:r>
          </w:p>
        </w:tc>
        <w:tc>
          <w:tcPr>
            <w:tcW w:w="0" w:type="auto"/>
            <w:gridSpan w:val="2"/>
            <w:shd w:val="clear" w:color="auto" w:fill="auto"/>
            <w:vAlign w:val="center"/>
          </w:tcPr>
          <w:p w14:paraId="7E0E1BA7">
            <w:pPr>
              <w:pStyle w:val="2"/>
              <w:keepNext w:val="0"/>
              <w:keepLines w:val="0"/>
              <w:widowControl/>
              <w:suppressLineNumbers w:val="0"/>
              <w:spacing w:line="210" w:lineRule="atLeast"/>
              <w:jc w:val="center"/>
            </w:pPr>
            <w:r>
              <w:rPr>
                <w:rFonts w:hint="default" w:ascii="Arial" w:hAnsi="Arial" w:cs="Arial"/>
                <w:color w:val="212122"/>
                <w:spacing w:val="0"/>
                <w:sz w:val="18"/>
                <w:szCs w:val="18"/>
              </w:rPr>
              <w:t>金属外壳接缝未导电连接、密封圈老化</w:t>
            </w:r>
          </w:p>
        </w:tc>
        <w:tc>
          <w:tcPr>
            <w:tcW w:w="0" w:type="auto"/>
            <w:shd w:val="clear" w:color="auto" w:fill="auto"/>
            <w:vAlign w:val="center"/>
          </w:tcPr>
          <w:p w14:paraId="088F001C">
            <w:pPr>
              <w:keepNext w:val="0"/>
              <w:keepLines w:val="0"/>
              <w:widowControl/>
              <w:suppressLineNumbers w:val="0"/>
              <w:jc w:val="left"/>
            </w:pPr>
          </w:p>
        </w:tc>
      </w:tr>
    </w:tbl>
    <w:p w14:paraId="6BC7939C">
      <w:pPr>
        <w:pStyle w:val="2"/>
        <w:keepNext w:val="0"/>
        <w:keepLines w:val="0"/>
        <w:widowControl/>
        <w:suppressLineNumbers w:val="0"/>
      </w:pPr>
    </w:p>
    <w:p w14:paraId="6081F53C">
      <w:pPr>
        <w:pStyle w:val="2"/>
        <w:keepNext w:val="0"/>
        <w:keepLines w:val="0"/>
        <w:widowControl/>
        <w:suppressLineNumbers w:val="0"/>
        <w:spacing w:line="315" w:lineRule="atLeast"/>
      </w:pPr>
      <w:r>
        <w:rPr>
          <w:rStyle w:val="5"/>
          <w:rFonts w:hint="default" w:ascii="Arial" w:hAnsi="Arial" w:cs="Arial"/>
          <w:spacing w:val="15"/>
        </w:rPr>
        <w:t>三、EMC-DFMEA 的风险评估与优先级排序</w:t>
      </w:r>
    </w:p>
    <w:p w14:paraId="36CD85E8">
      <w:pPr>
        <w:pStyle w:val="2"/>
        <w:keepNext w:val="0"/>
        <w:keepLines w:val="0"/>
        <w:widowControl/>
        <w:suppressLineNumbers w:val="0"/>
        <w:spacing w:line="315" w:lineRule="atLeast"/>
      </w:pPr>
      <w:r>
        <w:rPr>
          <w:rFonts w:hint="default" w:ascii="Arial" w:hAnsi="Arial" w:cs="Arial"/>
          <w:spacing w:val="15"/>
        </w:rPr>
        <w:t>风险优先数（RPN）计算：</w:t>
      </w:r>
    </w:p>
    <w:p w14:paraId="55755A53">
      <w:pPr>
        <w:pStyle w:val="2"/>
        <w:keepNext w:val="0"/>
        <w:keepLines w:val="0"/>
        <w:widowControl/>
        <w:suppressLineNumbers w:val="0"/>
        <w:spacing w:line="315" w:lineRule="atLeast"/>
      </w:pPr>
      <w:r>
        <w:rPr>
          <w:rFonts w:hint="default" w:ascii="Arial" w:hAnsi="Arial" w:cs="Arial"/>
          <w:spacing w:val="15"/>
        </w:rPr>
        <w:t>RPN = 严重度（S）× 发生度（O）× 检测度（D）</w:t>
      </w:r>
    </w:p>
    <w:p w14:paraId="6918C9AC">
      <w:pPr>
        <w:pStyle w:val="2"/>
        <w:keepNext w:val="0"/>
        <w:keepLines w:val="0"/>
        <w:widowControl/>
        <w:suppressLineNumbers w:val="0"/>
        <w:spacing w:line="315" w:lineRule="atLeast"/>
      </w:pPr>
      <w:r>
        <w:rPr>
          <w:rFonts w:hint="default" w:ascii="Arial" w:hAnsi="Arial" w:cs="Arial"/>
          <w:spacing w:val="15"/>
        </w:rPr>
        <w:t> 严重度（S）：1（可忽略）~10（危及生命）</w:t>
      </w:r>
    </w:p>
    <w:p w14:paraId="4E35AD09">
      <w:pPr>
        <w:pStyle w:val="2"/>
        <w:keepNext w:val="0"/>
        <w:keepLines w:val="0"/>
        <w:widowControl/>
        <w:suppressLineNumbers w:val="0"/>
        <w:spacing w:line="315" w:lineRule="atLeast"/>
      </w:pPr>
      <w:r>
        <w:rPr>
          <w:rFonts w:hint="default" w:ascii="Arial" w:hAnsi="Arial" w:cs="Arial"/>
          <w:spacing w:val="15"/>
        </w:rPr>
        <w:t> 发生度（O）：1（极不可能）~10（几乎肯定）</w:t>
      </w:r>
    </w:p>
    <w:p w14:paraId="49F6B96B">
      <w:pPr>
        <w:pStyle w:val="2"/>
        <w:keepNext w:val="0"/>
        <w:keepLines w:val="0"/>
        <w:widowControl/>
        <w:suppressLineNumbers w:val="0"/>
        <w:spacing w:line="315" w:lineRule="atLeast"/>
      </w:pPr>
      <w:r>
        <w:rPr>
          <w:rFonts w:hint="default" w:ascii="Arial" w:hAnsi="Arial" w:cs="Arial"/>
          <w:spacing w:val="15"/>
        </w:rPr>
        <w:t> 检测度（D）：1（肯定能检测）~10（无法检测）</w:t>
      </w:r>
    </w:p>
    <w:p w14:paraId="7CCE1C25">
      <w:pPr>
        <w:pStyle w:val="2"/>
        <w:keepNext w:val="0"/>
        <w:keepLines w:val="0"/>
        <w:widowControl/>
        <w:suppressLineNumbers w:val="0"/>
        <w:spacing w:line="315" w:lineRule="atLeast"/>
      </w:pPr>
      <w:r>
        <w:rPr>
          <w:rFonts w:hint="default" w:ascii="Arial" w:hAnsi="Arial" w:cs="Arial"/>
          <w:spacing w:val="15"/>
        </w:rPr>
        <w:t>决策规则：</w:t>
      </w:r>
    </w:p>
    <w:p w14:paraId="5651E5A2">
      <w:pPr>
        <w:pStyle w:val="2"/>
        <w:keepNext w:val="0"/>
        <w:keepLines w:val="0"/>
        <w:widowControl/>
        <w:suppressLineNumbers w:val="0"/>
        <w:spacing w:line="315" w:lineRule="atLeast"/>
      </w:pPr>
      <w:r>
        <w:rPr>
          <w:rFonts w:hint="default" w:ascii="Arial" w:hAnsi="Arial" w:cs="Arial"/>
          <w:spacing w:val="15"/>
        </w:rPr>
        <w:t> RPN≥100：必须立即采取措施</w:t>
      </w:r>
    </w:p>
    <w:p w14:paraId="1840A4E2">
      <w:pPr>
        <w:pStyle w:val="2"/>
        <w:keepNext w:val="0"/>
        <w:keepLines w:val="0"/>
        <w:widowControl/>
        <w:suppressLineNumbers w:val="0"/>
        <w:spacing w:line="315" w:lineRule="atLeast"/>
      </w:pPr>
      <w:r>
        <w:rPr>
          <w:rFonts w:hint="default" w:ascii="Arial" w:hAnsi="Arial" w:cs="Arial"/>
          <w:spacing w:val="15"/>
        </w:rPr>
        <w:t> S≥8：无论 RPN 值如何，均需优先处理</w:t>
      </w:r>
    </w:p>
    <w:p w14:paraId="3BCBF54D">
      <w:pPr>
        <w:pStyle w:val="2"/>
        <w:keepNext w:val="0"/>
        <w:keepLines w:val="0"/>
        <w:widowControl/>
        <w:suppressLineNumbers w:val="0"/>
        <w:spacing w:line="315" w:lineRule="atLeast"/>
      </w:pPr>
      <w:r>
        <w:rPr>
          <w:rFonts w:hint="default" w:ascii="Arial" w:hAnsi="Arial" w:cs="Arial"/>
          <w:spacing w:val="15"/>
        </w:rPr>
        <w:t> 50≤RPN&lt;100：纳入改进计划</w:t>
      </w:r>
    </w:p>
    <w:p w14:paraId="2F7B654F">
      <w:pPr>
        <w:pStyle w:val="2"/>
        <w:keepNext w:val="0"/>
        <w:keepLines w:val="0"/>
        <w:widowControl/>
        <w:suppressLineNumbers w:val="0"/>
        <w:spacing w:line="315" w:lineRule="atLeast"/>
      </w:pPr>
      <w:r>
        <w:rPr>
          <w:rFonts w:hint="default" w:ascii="Arial" w:hAnsi="Arial" w:cs="Arial"/>
          <w:spacing w:val="15"/>
        </w:rPr>
        <w:t> RPN&lt;50：可接受风险</w:t>
      </w:r>
    </w:p>
    <w:p w14:paraId="0766F267">
      <w:pPr>
        <w:pStyle w:val="2"/>
        <w:keepNext w:val="0"/>
        <w:keepLines w:val="0"/>
        <w:widowControl/>
        <w:suppressLineNumbers w:val="0"/>
      </w:pPr>
    </w:p>
    <w:p w14:paraId="0F2A29E3">
      <w:pPr>
        <w:pStyle w:val="2"/>
        <w:keepNext w:val="0"/>
        <w:keepLines w:val="0"/>
        <w:widowControl/>
        <w:suppressLineNumbers w:val="0"/>
        <w:spacing w:line="315" w:lineRule="atLeast"/>
      </w:pPr>
      <w:r>
        <w:rPr>
          <w:rStyle w:val="5"/>
          <w:rFonts w:hint="default" w:ascii="Arial" w:hAnsi="Arial" w:cs="Arial"/>
          <w:spacing w:val="15"/>
        </w:rPr>
        <w:t>四、实施 EMC-DFMEA 的关键工具</w:t>
      </w:r>
    </w:p>
    <w:p w14:paraId="1EBCA858">
      <w:pPr>
        <w:pStyle w:val="2"/>
        <w:keepNext w:val="0"/>
        <w:keepLines w:val="0"/>
        <w:widowControl/>
        <w:suppressLineNumbers w:val="0"/>
        <w:spacing w:line="315" w:lineRule="atLeast"/>
      </w:pPr>
      <w:r>
        <w:rPr>
          <w:rFonts w:hint="default" w:ascii="Arial" w:hAnsi="Arial" w:cs="Arial"/>
          <w:spacing w:val="15"/>
        </w:rPr>
        <w:t>仿真工具：</w:t>
      </w:r>
    </w:p>
    <w:p w14:paraId="57A98225">
      <w:pPr>
        <w:pStyle w:val="2"/>
        <w:keepNext w:val="0"/>
        <w:keepLines w:val="0"/>
        <w:widowControl/>
        <w:suppressLineNumbers w:val="0"/>
        <w:spacing w:line="315" w:lineRule="atLeast"/>
      </w:pPr>
      <w:r>
        <w:rPr>
          <w:rFonts w:hint="default" w:ascii="Arial" w:hAnsi="Arial" w:cs="Arial"/>
          <w:spacing w:val="15"/>
        </w:rPr>
        <w:t>ANSYS HFSS：PCB 板级电磁场仿真，预测辐射热点</w:t>
      </w:r>
    </w:p>
    <w:p w14:paraId="118AE0EE">
      <w:pPr>
        <w:pStyle w:val="2"/>
        <w:keepNext w:val="0"/>
        <w:keepLines w:val="0"/>
        <w:widowControl/>
        <w:suppressLineNumbers w:val="0"/>
        <w:spacing w:line="315" w:lineRule="atLeast"/>
      </w:pPr>
      <w:r>
        <w:rPr>
          <w:rFonts w:hint="default" w:ascii="Arial" w:hAnsi="Arial" w:cs="Arial"/>
          <w:spacing w:val="15"/>
        </w:rPr>
        <w:t>CST Studio：整机 EMC 性能仿真，优化外壳屏蔽设计</w:t>
      </w:r>
    </w:p>
    <w:p w14:paraId="393EEEEF">
      <w:pPr>
        <w:pStyle w:val="2"/>
        <w:keepNext w:val="0"/>
        <w:keepLines w:val="0"/>
        <w:widowControl/>
        <w:suppressLineNumbers w:val="0"/>
        <w:spacing w:line="315" w:lineRule="atLeast"/>
      </w:pPr>
      <w:r>
        <w:rPr>
          <w:rFonts w:hint="default" w:ascii="Arial" w:hAnsi="Arial" w:cs="Arial"/>
          <w:spacing w:val="15"/>
        </w:rPr>
        <w:t>测试设备：</w:t>
      </w:r>
    </w:p>
    <w:p w14:paraId="369E4D14">
      <w:pPr>
        <w:pStyle w:val="2"/>
        <w:keepNext w:val="0"/>
        <w:keepLines w:val="0"/>
        <w:widowControl/>
        <w:suppressLineNumbers w:val="0"/>
        <w:spacing w:line="315" w:lineRule="atLeast"/>
      </w:pPr>
      <w:r>
        <w:rPr>
          <w:rFonts w:hint="default" w:ascii="Arial" w:hAnsi="Arial" w:cs="Arial"/>
          <w:spacing w:val="15"/>
        </w:rPr>
        <w:t>频谱分析仪 + 接收天线：辐射发射测试</w:t>
      </w:r>
    </w:p>
    <w:p w14:paraId="49742F55">
      <w:pPr>
        <w:pStyle w:val="2"/>
        <w:keepNext w:val="0"/>
        <w:keepLines w:val="0"/>
        <w:widowControl/>
        <w:suppressLineNumbers w:val="0"/>
        <w:spacing w:line="315" w:lineRule="atLeast"/>
      </w:pPr>
      <w:r>
        <w:rPr>
          <w:rFonts w:hint="default" w:ascii="Arial" w:hAnsi="Arial" w:cs="Arial"/>
          <w:spacing w:val="15"/>
        </w:rPr>
        <w:t>EMC 测试接收机：传导发射测试</w:t>
      </w:r>
    </w:p>
    <w:p w14:paraId="6DC2DEBA">
      <w:pPr>
        <w:pStyle w:val="2"/>
        <w:keepNext w:val="0"/>
        <w:keepLines w:val="0"/>
        <w:widowControl/>
        <w:suppressLineNumbers w:val="0"/>
        <w:spacing w:line="315" w:lineRule="atLeast"/>
      </w:pPr>
      <w:r>
        <w:rPr>
          <w:rFonts w:hint="default" w:ascii="Arial" w:hAnsi="Arial" w:cs="Arial"/>
          <w:spacing w:val="15"/>
        </w:rPr>
        <w:t>示波器 + 探头：信号完整性分析</w:t>
      </w:r>
    </w:p>
    <w:p w14:paraId="66FF5DD2">
      <w:pPr>
        <w:pStyle w:val="2"/>
        <w:keepNext w:val="0"/>
        <w:keepLines w:val="0"/>
        <w:widowControl/>
        <w:suppressLineNumbers w:val="0"/>
        <w:spacing w:line="315" w:lineRule="atLeast"/>
      </w:pPr>
      <w:r>
        <w:rPr>
          <w:rFonts w:hint="default" w:ascii="Arial" w:hAnsi="Arial" w:cs="Arial"/>
          <w:spacing w:val="15"/>
        </w:rPr>
        <w:t>标准化模板：</w:t>
      </w:r>
    </w:p>
    <w:p w14:paraId="55FE3E9E">
      <w:pPr>
        <w:pStyle w:val="2"/>
        <w:keepNext w:val="0"/>
        <w:keepLines w:val="0"/>
        <w:widowControl/>
        <w:suppressLineNumbers w:val="0"/>
        <w:spacing w:line="315" w:lineRule="atLeast"/>
      </w:pPr>
      <w:r>
        <w:rPr>
          <w:rFonts w:hint="default" w:ascii="Arial" w:hAnsi="Arial" w:cs="Arial"/>
          <w:spacing w:val="15"/>
        </w:rPr>
        <w:t>采用 AIAG-VDA DFMEA 表格，增加 EMC 专用字段（如 “EMC 标准条款”、“测试方法”）</w:t>
      </w:r>
    </w:p>
    <w:p w14:paraId="03A1D68D">
      <w:pPr>
        <w:pStyle w:val="2"/>
        <w:keepNext w:val="0"/>
        <w:keepLines w:val="0"/>
        <w:widowControl/>
        <w:suppressLineNumbers w:val="0"/>
      </w:pPr>
    </w:p>
    <w:p w14:paraId="67A51C37">
      <w:pPr>
        <w:pStyle w:val="2"/>
        <w:keepNext w:val="0"/>
        <w:keepLines w:val="0"/>
        <w:widowControl/>
        <w:suppressLineNumbers w:val="0"/>
        <w:spacing w:line="315" w:lineRule="atLeast"/>
      </w:pPr>
      <w:r>
        <w:rPr>
          <w:rStyle w:val="5"/>
          <w:rFonts w:hint="default" w:ascii="Arial" w:hAnsi="Arial" w:cs="Arial"/>
          <w:spacing w:val="15"/>
        </w:rPr>
        <w:t>五、牙科设备实施 EMC-DFMEA 的核心要件</w:t>
      </w:r>
    </w:p>
    <w:p w14:paraId="5A71C271">
      <w:pPr>
        <w:pStyle w:val="2"/>
        <w:keepNext w:val="0"/>
        <w:keepLines w:val="0"/>
        <w:widowControl/>
        <w:suppressLineNumbers w:val="0"/>
        <w:spacing w:line="315" w:lineRule="atLeast"/>
      </w:pPr>
      <w:r>
        <w:rPr>
          <w:rFonts w:hint="default" w:ascii="Arial" w:hAnsi="Arial" w:cs="Arial"/>
          <w:spacing w:val="15"/>
        </w:rPr>
        <w:t>跨部门协作</w:t>
      </w:r>
    </w:p>
    <w:p w14:paraId="7D76DD1B">
      <w:pPr>
        <w:pStyle w:val="2"/>
        <w:keepNext w:val="0"/>
        <w:keepLines w:val="0"/>
        <w:widowControl/>
        <w:suppressLineNumbers w:val="0"/>
        <w:spacing w:line="315" w:lineRule="atLeast"/>
      </w:pPr>
      <w:r>
        <w:rPr>
          <w:rFonts w:hint="default" w:ascii="Arial" w:hAnsi="Arial" w:cs="Arial"/>
          <w:spacing w:val="15"/>
        </w:rPr>
        <w:t>硬件工程师、EMC 工程师、可靠性工程师共同参与分析</w:t>
      </w:r>
    </w:p>
    <w:p w14:paraId="40BDF516">
      <w:pPr>
        <w:pStyle w:val="2"/>
        <w:keepNext w:val="0"/>
        <w:keepLines w:val="0"/>
        <w:widowControl/>
        <w:suppressLineNumbers w:val="0"/>
        <w:spacing w:line="315" w:lineRule="atLeast"/>
      </w:pPr>
      <w:r>
        <w:rPr>
          <w:rFonts w:hint="default" w:ascii="Arial" w:hAnsi="Arial" w:cs="Arial"/>
          <w:spacing w:val="15"/>
        </w:rPr>
        <w:t>标准融合</w:t>
      </w:r>
    </w:p>
    <w:p w14:paraId="1ABFA072">
      <w:pPr>
        <w:pStyle w:val="2"/>
        <w:keepNext w:val="0"/>
        <w:keepLines w:val="0"/>
        <w:widowControl/>
        <w:suppressLineNumbers w:val="0"/>
        <w:spacing w:line="315" w:lineRule="atLeast"/>
      </w:pPr>
      <w:r>
        <w:rPr>
          <w:rFonts w:hint="default" w:ascii="Arial" w:hAnsi="Arial" w:cs="Arial"/>
          <w:spacing w:val="15"/>
        </w:rPr>
        <w:t>参考 IEC 60601-1-2、YY 9706.102 等医疗设备 EMC 标准</w:t>
      </w:r>
    </w:p>
    <w:p w14:paraId="1B6ED57F">
      <w:pPr>
        <w:pStyle w:val="2"/>
        <w:keepNext w:val="0"/>
        <w:keepLines w:val="0"/>
        <w:widowControl/>
        <w:suppressLineNumbers w:val="0"/>
        <w:spacing w:line="315" w:lineRule="atLeast"/>
      </w:pPr>
      <w:r>
        <w:rPr>
          <w:rFonts w:hint="default" w:ascii="Arial" w:hAnsi="Arial" w:cs="Arial"/>
          <w:spacing w:val="15"/>
        </w:rPr>
        <w:t>全生命周期管理</w:t>
      </w:r>
    </w:p>
    <w:p w14:paraId="68666A26">
      <w:pPr>
        <w:pStyle w:val="2"/>
        <w:keepNext w:val="0"/>
        <w:keepLines w:val="0"/>
        <w:widowControl/>
        <w:suppressLineNumbers w:val="0"/>
        <w:spacing w:line="315" w:lineRule="atLeast"/>
      </w:pPr>
      <w:r>
        <w:rPr>
          <w:rFonts w:hint="default" w:ascii="Arial" w:hAnsi="Arial" w:cs="Arial"/>
          <w:spacing w:val="15"/>
        </w:rPr>
        <w:t>设计阶段：通过仿真预判风险</w:t>
      </w:r>
    </w:p>
    <w:p w14:paraId="121D1085">
      <w:pPr>
        <w:pStyle w:val="2"/>
        <w:keepNext w:val="0"/>
        <w:keepLines w:val="0"/>
        <w:widowControl/>
        <w:suppressLineNumbers w:val="0"/>
        <w:spacing w:line="315" w:lineRule="atLeast"/>
      </w:pPr>
      <w:r>
        <w:rPr>
          <w:rFonts w:hint="default" w:ascii="Arial" w:hAnsi="Arial" w:cs="Arial"/>
          <w:spacing w:val="15"/>
        </w:rPr>
        <w:t>样机阶段：通过 EMC 测试验证措施有效性</w:t>
      </w:r>
    </w:p>
    <w:p w14:paraId="0268332E">
      <w:pPr>
        <w:pStyle w:val="2"/>
        <w:keepNext w:val="0"/>
        <w:keepLines w:val="0"/>
        <w:widowControl/>
        <w:suppressLineNumbers w:val="0"/>
        <w:spacing w:line="315" w:lineRule="atLeast"/>
      </w:pPr>
      <w:r>
        <w:rPr>
          <w:rFonts w:hint="default" w:ascii="Arial" w:hAnsi="Arial" w:cs="Arial"/>
          <w:spacing w:val="15"/>
        </w:rPr>
        <w:t>量产阶段：定期抽检，监控EMC稳定性</w:t>
      </w:r>
    </w:p>
    <w:p w14:paraId="5E4139A4">
      <w:pPr>
        <w:pStyle w:val="2"/>
        <w:keepNext w:val="0"/>
        <w:keepLines w:val="0"/>
        <w:widowControl/>
        <w:suppressLineNumbers w:val="0"/>
        <w:spacing w:line="315" w:lineRule="atLeast"/>
      </w:pPr>
      <w:r>
        <w:rPr>
          <w:rFonts w:hint="default" w:ascii="Arial" w:hAnsi="Arial" w:cs="Arial"/>
          <w:spacing w:val="15"/>
        </w:rPr>
        <w:t>持续改进</w:t>
      </w:r>
    </w:p>
    <w:p w14:paraId="643B2C51">
      <w:pPr>
        <w:pStyle w:val="2"/>
        <w:keepNext w:val="0"/>
        <w:keepLines w:val="0"/>
        <w:widowControl/>
        <w:suppressLineNumbers w:val="0"/>
        <w:spacing w:line="315" w:lineRule="atLeast"/>
      </w:pPr>
      <w:r>
        <w:rPr>
          <w:rFonts w:hint="default" w:ascii="Arial" w:hAnsi="Arial" w:cs="Arial"/>
          <w:spacing w:val="15"/>
        </w:rPr>
        <w:t>建立失效案例库，总结共性问题，优化设计指南</w:t>
      </w:r>
    </w:p>
    <w:p w14:paraId="02257427">
      <w:pPr>
        <w:pStyle w:val="2"/>
        <w:keepNext w:val="0"/>
        <w:keepLines w:val="0"/>
        <w:widowControl/>
        <w:suppressLineNumbers w:val="0"/>
      </w:pPr>
    </w:p>
    <w:p w14:paraId="25442C3A">
      <w:pPr>
        <w:pStyle w:val="2"/>
        <w:keepNext w:val="0"/>
        <w:keepLines w:val="0"/>
        <w:widowControl/>
        <w:suppressLineNumbers w:val="0"/>
        <w:spacing w:line="315" w:lineRule="atLeast"/>
      </w:pPr>
      <w:r>
        <w:rPr>
          <w:rStyle w:val="5"/>
          <w:rFonts w:hint="default" w:ascii="Arial" w:hAnsi="Arial" w:cs="Arial"/>
          <w:spacing w:val="15"/>
        </w:rPr>
        <w:t>六、典型案例：口腔种植设备的 EMC-DFMEA 改进</w:t>
      </w:r>
    </w:p>
    <w:p w14:paraId="2089B121">
      <w:pPr>
        <w:pStyle w:val="2"/>
        <w:keepNext w:val="0"/>
        <w:keepLines w:val="0"/>
        <w:widowControl/>
        <w:suppressLineNumbers w:val="0"/>
        <w:spacing w:line="315" w:lineRule="atLeast"/>
      </w:pPr>
      <w:r>
        <w:rPr>
          <w:rFonts w:hint="default" w:ascii="Arial" w:hAnsi="Arial" w:cs="Arial"/>
          <w:spacing w:val="15"/>
        </w:rPr>
        <w:t>问题描述：</w:t>
      </w:r>
    </w:p>
    <w:p w14:paraId="7AC38300">
      <w:pPr>
        <w:pStyle w:val="2"/>
        <w:keepNext w:val="0"/>
        <w:keepLines w:val="0"/>
        <w:widowControl/>
        <w:suppressLineNumbers w:val="0"/>
        <w:spacing w:line="315" w:lineRule="atLeast"/>
      </w:pPr>
      <w:r>
        <w:rPr>
          <w:rFonts w:hint="default" w:ascii="Arial" w:hAnsi="Arial" w:cs="Arial"/>
          <w:spacing w:val="15"/>
        </w:rPr>
        <w:t>某知名公司口腔种植导航设备在测试中发现，电机驱动模块产生的高频噪声干扰光学定位系统，导致定位精度下降</w:t>
      </w:r>
    </w:p>
    <w:p w14:paraId="64F1CE03">
      <w:pPr>
        <w:pStyle w:val="2"/>
        <w:keepNext w:val="0"/>
        <w:keepLines w:val="0"/>
        <w:widowControl/>
        <w:suppressLineNumbers w:val="0"/>
        <w:spacing w:line="315" w:lineRule="atLeast"/>
      </w:pPr>
      <w:r>
        <w:rPr>
          <w:rFonts w:hint="default" w:ascii="Arial" w:hAnsi="Arial" w:cs="Arial"/>
          <w:spacing w:val="15"/>
        </w:rPr>
        <w:t>DFMEA 分析与改进：</w:t>
      </w:r>
    </w:p>
    <w:p w14:paraId="7F62C429">
      <w:pPr>
        <w:pStyle w:val="2"/>
        <w:keepNext w:val="0"/>
        <w:keepLines w:val="0"/>
        <w:widowControl/>
        <w:suppressLineNumbers w:val="0"/>
        <w:spacing w:line="315" w:lineRule="atLeast"/>
      </w:pPr>
      <w:r>
        <w:rPr>
          <w:rFonts w:hint="default" w:ascii="Arial" w:hAnsi="Arial" w:cs="Arial"/>
          <w:spacing w:val="15"/>
        </w:rPr>
        <w:t>失效模式：电机 PWM 驱动信号通过空间辐射干扰光学传感器</w:t>
      </w:r>
    </w:p>
    <w:p w14:paraId="27E43F68">
      <w:pPr>
        <w:pStyle w:val="2"/>
        <w:keepNext w:val="0"/>
        <w:keepLines w:val="0"/>
        <w:widowControl/>
        <w:suppressLineNumbers w:val="0"/>
        <w:spacing w:line="315" w:lineRule="atLeast"/>
      </w:pPr>
      <w:r>
        <w:rPr>
          <w:rFonts w:hint="default" w:ascii="Arial" w:hAnsi="Arial" w:cs="Arial"/>
          <w:spacing w:val="15"/>
        </w:rPr>
        <w:t>风险评估：S=8（影响手术精度），O=7（设计未考虑隔离），D=4（测试阶段可发现）→ RPN=224</w:t>
      </w:r>
    </w:p>
    <w:p w14:paraId="531438B7">
      <w:pPr>
        <w:pStyle w:val="2"/>
        <w:keepNext w:val="0"/>
        <w:keepLines w:val="0"/>
        <w:widowControl/>
        <w:suppressLineNumbers w:val="0"/>
        <w:spacing w:line="315" w:lineRule="atLeast"/>
      </w:pPr>
      <w:r>
        <w:rPr>
          <w:rFonts w:hint="default" w:ascii="Arial" w:hAnsi="Arial" w:cs="Arial"/>
          <w:spacing w:val="15"/>
        </w:rPr>
        <w:t>改进措施：</w:t>
      </w:r>
    </w:p>
    <w:p w14:paraId="289D7385">
      <w:pPr>
        <w:pStyle w:val="2"/>
        <w:keepNext w:val="0"/>
        <w:keepLines w:val="0"/>
        <w:widowControl/>
        <w:suppressLineNumbers w:val="0"/>
        <w:spacing w:line="315" w:lineRule="atLeast"/>
      </w:pPr>
      <w:r>
        <w:rPr>
          <w:rFonts w:hint="default" w:ascii="Arial" w:hAnsi="Arial" w:cs="Arial"/>
          <w:spacing w:val="15"/>
        </w:rPr>
        <w:t>将电机驱动 PCB 与传感器 PCB 正交布局，减少电场耦合</w:t>
      </w:r>
    </w:p>
    <w:p w14:paraId="1CD43A2D">
      <w:pPr>
        <w:pStyle w:val="2"/>
        <w:keepNext w:val="0"/>
        <w:keepLines w:val="0"/>
        <w:widowControl/>
        <w:suppressLineNumbers w:val="0"/>
        <w:spacing w:line="315" w:lineRule="atLeast"/>
      </w:pPr>
      <w:r>
        <w:rPr>
          <w:rFonts w:hint="default" w:ascii="Arial" w:hAnsi="Arial" w:cs="Arial"/>
          <w:spacing w:val="15"/>
        </w:rPr>
        <w:t>在电机驱动电路增加共模扼流圈，降低共模辐射</w:t>
      </w:r>
    </w:p>
    <w:p w14:paraId="313C9EB4">
      <w:pPr>
        <w:pStyle w:val="2"/>
        <w:keepNext w:val="0"/>
        <w:keepLines w:val="0"/>
        <w:widowControl/>
        <w:suppressLineNumbers w:val="0"/>
        <w:spacing w:line="315" w:lineRule="atLeast"/>
      </w:pPr>
      <w:r>
        <w:rPr>
          <w:rFonts w:hint="default" w:ascii="Arial" w:hAnsi="Arial" w:cs="Arial"/>
          <w:spacing w:val="15"/>
        </w:rPr>
        <w:t>光学传感器模块增加金属屏蔽罩，并可靠接地</w:t>
      </w:r>
    </w:p>
    <w:p w14:paraId="788B1425">
      <w:pPr>
        <w:pStyle w:val="2"/>
        <w:keepNext w:val="0"/>
        <w:keepLines w:val="0"/>
        <w:widowControl/>
        <w:suppressLineNumbers w:val="0"/>
        <w:spacing w:line="315" w:lineRule="atLeast"/>
      </w:pPr>
      <w:r>
        <w:rPr>
          <w:rFonts w:hint="default" w:ascii="Arial" w:hAnsi="Arial" w:cs="Arial"/>
          <w:spacing w:val="15"/>
        </w:rPr>
        <w:t>验证结果：辐射发射降低 12dBμV/m，定位精度恢复至设计指标</w:t>
      </w:r>
    </w:p>
    <w:p w14:paraId="367C7E2C">
      <w:pPr>
        <w:keepNext w:val="0"/>
        <w:keepLines w:val="0"/>
        <w:widowControl/>
        <w:suppressLineNumbers w:val="0"/>
        <w:jc w:val="left"/>
      </w:pPr>
    </w:p>
    <w:p w14:paraId="1AA9D82D">
      <w:pPr>
        <w:pStyle w:val="2"/>
        <w:keepNext w:val="0"/>
        <w:keepLines w:val="0"/>
        <w:widowControl/>
        <w:suppressLineNumbers w:val="0"/>
      </w:pPr>
    </w:p>
    <w:p w14:paraId="4B6C4C93">
      <w:pPr>
        <w:pStyle w:val="2"/>
        <w:keepNext w:val="0"/>
        <w:keepLines w:val="0"/>
        <w:widowControl/>
        <w:suppressLineNumbers w:val="0"/>
      </w:pPr>
      <w:r>
        <w:t>五、常用接口及EMC设计电路解析</w:t>
      </w:r>
    </w:p>
    <w:p w14:paraId="7C7900C4">
      <w:pPr>
        <w:keepNext w:val="0"/>
        <w:keepLines w:val="0"/>
        <w:widowControl/>
        <w:suppressLineNumbers w:val="0"/>
        <w:spacing w:after="240" w:afterAutospacing="0"/>
        <w:jc w:val="left"/>
      </w:pPr>
    </w:p>
    <w:p w14:paraId="47ABB42B">
      <w:pPr>
        <w:pStyle w:val="2"/>
        <w:keepNext w:val="0"/>
        <w:keepLines w:val="0"/>
        <w:widowControl/>
        <w:suppressLineNumbers w:val="0"/>
      </w:pPr>
      <w:r>
        <w:rPr>
          <w:rStyle w:val="5"/>
          <w:spacing w:val="15"/>
          <w:sz w:val="24"/>
          <w:szCs w:val="24"/>
        </w:rPr>
        <w:t>电源接口EMC及可靠性设计</w:t>
      </w:r>
    </w:p>
    <w:p w14:paraId="69228504">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9865" cy="2440305"/>
            <wp:effectExtent l="0" t="0" r="6985" b="17145"/>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9"/>
                    <a:stretch>
                      <a:fillRect/>
                    </a:stretch>
                  </pic:blipFill>
                  <pic:spPr>
                    <a:xfrm>
                      <a:off x="0" y="0"/>
                      <a:ext cx="5269865" cy="2440305"/>
                    </a:xfrm>
                    <a:prstGeom prst="rect">
                      <a:avLst/>
                    </a:prstGeom>
                    <a:noFill/>
                    <a:ln w="9525">
                      <a:noFill/>
                    </a:ln>
                  </pic:spPr>
                </pic:pic>
              </a:graphicData>
            </a:graphic>
          </wp:inline>
        </w:drawing>
      </w:r>
    </w:p>
    <w:p w14:paraId="172C6946">
      <w:pPr>
        <w:pStyle w:val="2"/>
        <w:keepNext w:val="0"/>
        <w:keepLines w:val="0"/>
        <w:widowControl/>
        <w:suppressLineNumbers w:val="0"/>
        <w:spacing w:line="315" w:lineRule="atLeast"/>
        <w:jc w:val="left"/>
      </w:pPr>
      <w:r>
        <w:rPr>
          <w:rStyle w:val="5"/>
          <w:rFonts w:hint="default" w:ascii="Arial" w:hAnsi="Arial" w:cs="Arial"/>
          <w:color w:val="212122"/>
          <w:spacing w:val="15"/>
        </w:rPr>
        <w:t>AC 电源接口：</w:t>
      </w:r>
      <w:r>
        <w:rPr>
          <w:rFonts w:hint="default" w:ascii="Arial" w:hAnsi="Arial" w:cs="Arial"/>
          <w:spacing w:val="15"/>
        </w:rPr>
        <w:t>用于连接外部220V交流输入</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92"/>
        <w:gridCol w:w="1304"/>
        <w:gridCol w:w="1241"/>
        <w:gridCol w:w="3324"/>
        <w:gridCol w:w="845"/>
      </w:tblGrid>
      <w:tr w14:paraId="74FEB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5" w:hRule="atLeast"/>
          <w:tblCellSpacing w:w="0" w:type="dxa"/>
        </w:trPr>
        <w:tc>
          <w:tcPr>
            <w:tcW w:w="1305" w:type="dxa"/>
            <w:shd w:val="clear" w:color="auto" w:fill="auto"/>
            <w:vAlign w:val="center"/>
          </w:tcPr>
          <w:p w14:paraId="3AC02C58">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型号</w:t>
            </w:r>
          </w:p>
        </w:tc>
        <w:tc>
          <w:tcPr>
            <w:tcW w:w="1130" w:type="dxa"/>
            <w:shd w:val="clear" w:color="auto" w:fill="auto"/>
            <w:vAlign w:val="center"/>
          </w:tcPr>
          <w:p w14:paraId="2575378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1209" w:type="dxa"/>
            <w:shd w:val="clear" w:color="auto" w:fill="auto"/>
            <w:vAlign w:val="center"/>
          </w:tcPr>
          <w:p w14:paraId="35B74B33">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1941" w:type="dxa"/>
            <w:shd w:val="clear" w:color="auto" w:fill="auto"/>
            <w:vAlign w:val="center"/>
          </w:tcPr>
          <w:p w14:paraId="1113AE8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823" w:type="dxa"/>
            <w:shd w:val="clear" w:color="auto" w:fill="auto"/>
            <w:vAlign w:val="center"/>
          </w:tcPr>
          <w:p w14:paraId="601EDEBA">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r>
      <w:tr w14:paraId="0C33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blCellSpacing w:w="0" w:type="dxa"/>
        </w:trPr>
        <w:tc>
          <w:tcPr>
            <w:tcW w:w="0" w:type="auto"/>
            <w:shd w:val="clear" w:color="auto" w:fill="auto"/>
            <w:vAlign w:val="center"/>
          </w:tcPr>
          <w:p w14:paraId="763B76D3">
            <w:pPr>
              <w:pStyle w:val="2"/>
              <w:keepNext w:val="0"/>
              <w:keepLines w:val="0"/>
              <w:widowControl/>
              <w:suppressLineNumbers w:val="0"/>
              <w:spacing w:line="210" w:lineRule="atLeast"/>
              <w:jc w:val="center"/>
            </w:pPr>
            <w:r>
              <w:rPr>
                <w:rFonts w:hint="default" w:ascii="Arial" w:hAnsi="Arial" w:cs="Arial"/>
                <w:color w:val="212122"/>
                <w:spacing w:val="0"/>
                <w:sz w:val="18"/>
                <w:szCs w:val="18"/>
              </w:rPr>
              <w:t>2R600L</w:t>
            </w:r>
          </w:p>
        </w:tc>
        <w:tc>
          <w:tcPr>
            <w:tcW w:w="0" w:type="auto"/>
            <w:shd w:val="clear" w:color="auto" w:fill="auto"/>
            <w:vAlign w:val="center"/>
          </w:tcPr>
          <w:p w14:paraId="4954D8AF">
            <w:pPr>
              <w:pStyle w:val="2"/>
              <w:keepNext w:val="0"/>
              <w:keepLines w:val="0"/>
              <w:widowControl/>
              <w:suppressLineNumbers w:val="0"/>
              <w:spacing w:line="210" w:lineRule="atLeast"/>
              <w:jc w:val="center"/>
            </w:pPr>
            <w:r>
              <w:rPr>
                <w:rFonts w:hint="default" w:ascii="Arial" w:hAnsi="Arial" w:cs="Arial"/>
                <w:color w:val="212122"/>
                <w:spacing w:val="0"/>
                <w:sz w:val="18"/>
                <w:szCs w:val="18"/>
              </w:rPr>
              <w:t>GDT</w:t>
            </w:r>
          </w:p>
        </w:tc>
        <w:tc>
          <w:tcPr>
            <w:tcW w:w="0" w:type="auto"/>
            <w:shd w:val="clear" w:color="auto" w:fill="auto"/>
            <w:vAlign w:val="center"/>
          </w:tcPr>
          <w:p w14:paraId="28F18CC0">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电源接口</w:t>
            </w:r>
          </w:p>
        </w:tc>
        <w:tc>
          <w:tcPr>
            <w:tcW w:w="0" w:type="auto"/>
            <w:shd w:val="clear" w:color="auto" w:fill="auto"/>
            <w:vAlign w:val="center"/>
          </w:tcPr>
          <w:p w14:paraId="67FBF190">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浪涌，防雷（户外产品，关注续流问题）</w:t>
            </w:r>
          </w:p>
        </w:tc>
        <w:tc>
          <w:tcPr>
            <w:tcW w:w="0" w:type="auto"/>
            <w:shd w:val="clear" w:color="auto" w:fill="auto"/>
            <w:vAlign w:val="center"/>
          </w:tcPr>
          <w:p w14:paraId="7F98A4AB">
            <w:pPr>
              <w:pStyle w:val="2"/>
              <w:keepNext w:val="0"/>
              <w:keepLines w:val="0"/>
              <w:widowControl/>
              <w:suppressLineNumbers w:val="0"/>
              <w:spacing w:line="210" w:lineRule="atLeast"/>
              <w:jc w:val="center"/>
            </w:pPr>
            <w:r>
              <w:rPr>
                <w:rFonts w:hint="default" w:ascii="Arial" w:hAnsi="Arial" w:cs="Arial"/>
                <w:color w:val="212122"/>
                <w:spacing w:val="0"/>
                <w:sz w:val="18"/>
                <w:szCs w:val="18"/>
              </w:rPr>
              <w:t>2RXXXL</w:t>
            </w:r>
          </w:p>
        </w:tc>
      </w:tr>
      <w:tr w14:paraId="36C2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blCellSpacing w:w="0" w:type="dxa"/>
        </w:trPr>
        <w:tc>
          <w:tcPr>
            <w:tcW w:w="0" w:type="auto"/>
            <w:shd w:val="clear" w:color="auto" w:fill="auto"/>
            <w:vAlign w:val="center"/>
          </w:tcPr>
          <w:p w14:paraId="07CA743E">
            <w:pPr>
              <w:pStyle w:val="2"/>
              <w:keepNext w:val="0"/>
              <w:keepLines w:val="0"/>
              <w:widowControl/>
              <w:suppressLineNumbers w:val="0"/>
              <w:spacing w:line="210" w:lineRule="atLeast"/>
              <w:jc w:val="center"/>
            </w:pPr>
            <w:r>
              <w:rPr>
                <w:rFonts w:hint="default" w:ascii="Arial" w:hAnsi="Arial" w:cs="Arial"/>
                <w:color w:val="212122"/>
                <w:spacing w:val="0"/>
                <w:sz w:val="18"/>
                <w:szCs w:val="18"/>
              </w:rPr>
              <w:t>14D561K/14D511K</w:t>
            </w:r>
          </w:p>
        </w:tc>
        <w:tc>
          <w:tcPr>
            <w:tcW w:w="0" w:type="auto"/>
            <w:shd w:val="clear" w:color="auto" w:fill="auto"/>
            <w:vAlign w:val="center"/>
          </w:tcPr>
          <w:p w14:paraId="2EBEF0BD">
            <w:pPr>
              <w:pStyle w:val="2"/>
              <w:keepNext w:val="0"/>
              <w:keepLines w:val="0"/>
              <w:widowControl/>
              <w:suppressLineNumbers w:val="0"/>
              <w:spacing w:line="210" w:lineRule="atLeast"/>
              <w:jc w:val="center"/>
            </w:pPr>
            <w:r>
              <w:rPr>
                <w:rFonts w:hint="default" w:ascii="Arial" w:hAnsi="Arial" w:cs="Arial"/>
                <w:color w:val="212122"/>
                <w:spacing w:val="0"/>
                <w:sz w:val="18"/>
                <w:szCs w:val="18"/>
              </w:rPr>
              <w:t>MOV</w:t>
            </w:r>
          </w:p>
        </w:tc>
        <w:tc>
          <w:tcPr>
            <w:tcW w:w="0" w:type="auto"/>
            <w:shd w:val="clear" w:color="auto" w:fill="auto"/>
            <w:vAlign w:val="center"/>
          </w:tcPr>
          <w:p w14:paraId="68B53530">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电源接口</w:t>
            </w:r>
          </w:p>
        </w:tc>
        <w:tc>
          <w:tcPr>
            <w:tcW w:w="0" w:type="auto"/>
            <w:shd w:val="clear" w:color="auto" w:fill="auto"/>
            <w:vAlign w:val="center"/>
          </w:tcPr>
          <w:p w14:paraId="6974D6AA">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浪涌，防雷</w:t>
            </w:r>
          </w:p>
        </w:tc>
        <w:tc>
          <w:tcPr>
            <w:tcW w:w="0" w:type="auto"/>
            <w:shd w:val="clear" w:color="auto" w:fill="auto"/>
            <w:vAlign w:val="center"/>
          </w:tcPr>
          <w:p w14:paraId="173F8F08">
            <w:pPr>
              <w:pStyle w:val="2"/>
              <w:keepNext w:val="0"/>
              <w:keepLines w:val="0"/>
              <w:widowControl/>
              <w:suppressLineNumbers w:val="0"/>
              <w:spacing w:line="210" w:lineRule="atLeast"/>
              <w:jc w:val="center"/>
            </w:pPr>
            <w:r>
              <w:rPr>
                <w:rFonts w:hint="default" w:ascii="Arial" w:hAnsi="Arial" w:cs="Arial"/>
                <w:color w:val="212122"/>
                <w:spacing w:val="0"/>
                <w:sz w:val="18"/>
                <w:szCs w:val="18"/>
              </w:rPr>
              <w:t>14D</w:t>
            </w:r>
          </w:p>
        </w:tc>
      </w:tr>
      <w:tr w14:paraId="48953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blCellSpacing w:w="0" w:type="dxa"/>
        </w:trPr>
        <w:tc>
          <w:tcPr>
            <w:tcW w:w="0" w:type="auto"/>
            <w:shd w:val="clear" w:color="auto" w:fill="auto"/>
            <w:vAlign w:val="center"/>
          </w:tcPr>
          <w:p w14:paraId="08268940">
            <w:pPr>
              <w:pStyle w:val="2"/>
              <w:keepNext w:val="0"/>
              <w:keepLines w:val="0"/>
              <w:widowControl/>
              <w:suppressLineNumbers w:val="0"/>
              <w:spacing w:line="210" w:lineRule="atLeast"/>
              <w:jc w:val="center"/>
            </w:pPr>
            <w:r>
              <w:rPr>
                <w:rFonts w:hint="default" w:ascii="Arial" w:hAnsi="Arial" w:cs="Arial"/>
                <w:color w:val="212122"/>
                <w:spacing w:val="0"/>
                <w:sz w:val="18"/>
                <w:szCs w:val="18"/>
              </w:rPr>
              <w:t>CMZ/CML</w:t>
            </w:r>
          </w:p>
        </w:tc>
        <w:tc>
          <w:tcPr>
            <w:tcW w:w="0" w:type="auto"/>
            <w:shd w:val="clear" w:color="auto" w:fill="auto"/>
            <w:vAlign w:val="center"/>
          </w:tcPr>
          <w:p w14:paraId="537AE8FE">
            <w:pPr>
              <w:pStyle w:val="2"/>
              <w:keepNext w:val="0"/>
              <w:keepLines w:val="0"/>
              <w:widowControl/>
              <w:suppressLineNumbers w:val="0"/>
              <w:spacing w:line="210" w:lineRule="atLeast"/>
              <w:jc w:val="center"/>
            </w:pPr>
            <w:r>
              <w:rPr>
                <w:rFonts w:hint="default" w:ascii="Arial" w:hAnsi="Arial" w:cs="Arial"/>
                <w:color w:val="212122"/>
                <w:spacing w:val="0"/>
                <w:sz w:val="18"/>
                <w:szCs w:val="18"/>
              </w:rPr>
              <w:t>EMI 共模抑制器</w:t>
            </w:r>
          </w:p>
        </w:tc>
        <w:tc>
          <w:tcPr>
            <w:tcW w:w="0" w:type="auto"/>
            <w:shd w:val="clear" w:color="auto" w:fill="auto"/>
            <w:vAlign w:val="center"/>
          </w:tcPr>
          <w:p w14:paraId="0AB1B6F1">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电源接口</w:t>
            </w:r>
          </w:p>
        </w:tc>
        <w:tc>
          <w:tcPr>
            <w:tcW w:w="0" w:type="auto"/>
            <w:shd w:val="clear" w:color="auto" w:fill="auto"/>
            <w:vAlign w:val="center"/>
          </w:tcPr>
          <w:p w14:paraId="7575AD6B">
            <w:pPr>
              <w:pStyle w:val="2"/>
              <w:keepNext w:val="0"/>
              <w:keepLines w:val="0"/>
              <w:widowControl/>
              <w:suppressLineNumbers w:val="0"/>
              <w:spacing w:line="210" w:lineRule="atLeast"/>
              <w:jc w:val="center"/>
            </w:pPr>
            <w:r>
              <w:rPr>
                <w:rFonts w:hint="default" w:ascii="Arial" w:hAnsi="Arial" w:cs="Arial"/>
                <w:color w:val="212122"/>
                <w:spacing w:val="0"/>
                <w:sz w:val="18"/>
                <w:szCs w:val="18"/>
              </w:rPr>
              <w:t>共模抑制</w:t>
            </w:r>
          </w:p>
        </w:tc>
        <w:tc>
          <w:tcPr>
            <w:tcW w:w="0" w:type="auto"/>
            <w:shd w:val="clear" w:color="auto" w:fill="auto"/>
            <w:vAlign w:val="center"/>
          </w:tcPr>
          <w:p w14:paraId="555811EF">
            <w:pPr>
              <w:pStyle w:val="2"/>
              <w:keepNext w:val="0"/>
              <w:keepLines w:val="0"/>
              <w:widowControl/>
              <w:suppressLineNumbers w:val="0"/>
              <w:spacing w:line="210" w:lineRule="atLeast"/>
              <w:jc w:val="center"/>
            </w:pPr>
            <w:r>
              <w:rPr>
                <w:rFonts w:hint="default" w:ascii="Arial" w:hAnsi="Arial" w:cs="Arial"/>
                <w:color w:val="212122"/>
                <w:spacing w:val="0"/>
                <w:sz w:val="18"/>
                <w:szCs w:val="18"/>
              </w:rPr>
              <w:t>SMD</w:t>
            </w:r>
          </w:p>
        </w:tc>
      </w:tr>
    </w:tbl>
    <w:p w14:paraId="54EC0AF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line="420" w:lineRule="atLeast"/>
        <w:ind w:left="0" w:right="0"/>
        <w:jc w:val="both"/>
      </w:pPr>
    </w:p>
    <w:p w14:paraId="70F8FB4A">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5"/>
          <w:rFonts w:ascii="宋体" w:hAnsi="宋体" w:eastAsia="宋体" w:cs="宋体"/>
          <w:spacing w:val="15"/>
          <w:kern w:val="0"/>
          <w:sz w:val="24"/>
          <w:szCs w:val="24"/>
          <w:lang w:val="en-US" w:eastAsia="zh-CN" w:bidi="ar"/>
        </w:rPr>
        <w:t>电源接口EMC及可靠性设计</w:t>
      </w:r>
      <w:r>
        <w:rPr>
          <w:rFonts w:ascii="宋体" w:hAnsi="宋体" w:eastAsia="宋体" w:cs="宋体"/>
          <w:kern w:val="0"/>
          <w:sz w:val="24"/>
          <w:szCs w:val="24"/>
          <w:vertAlign w:val="baseline"/>
          <w:lang w:val="en-US" w:eastAsia="zh-CN" w:bidi="ar"/>
        </w:rPr>
        <w:drawing>
          <wp:inline distT="0" distB="0" distL="114300" distR="114300">
            <wp:extent cx="5269865" cy="1970405"/>
            <wp:effectExtent l="0" t="0" r="6985" b="10795"/>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0"/>
                    <a:stretch>
                      <a:fillRect/>
                    </a:stretch>
                  </pic:blipFill>
                  <pic:spPr>
                    <a:xfrm>
                      <a:off x="0" y="0"/>
                      <a:ext cx="5269865" cy="1970405"/>
                    </a:xfrm>
                    <a:prstGeom prst="rect">
                      <a:avLst/>
                    </a:prstGeom>
                    <a:noFill/>
                    <a:ln w="9525">
                      <a:noFill/>
                    </a:ln>
                  </pic:spPr>
                </pic:pic>
              </a:graphicData>
            </a:graphic>
          </wp:inline>
        </w:drawing>
      </w:r>
    </w:p>
    <w:p w14:paraId="0DCFB250">
      <w:pPr>
        <w:pStyle w:val="2"/>
        <w:keepNext w:val="0"/>
        <w:keepLines w:val="0"/>
        <w:widowControl/>
        <w:suppressLineNumbers w:val="0"/>
        <w:spacing w:line="315" w:lineRule="atLeast"/>
        <w:jc w:val="left"/>
      </w:pPr>
      <w:r>
        <w:rPr>
          <w:rStyle w:val="5"/>
          <w:rFonts w:hint="default" w:ascii="Arial" w:hAnsi="Arial" w:cs="Arial"/>
          <w:color w:val="212122"/>
          <w:spacing w:val="15"/>
        </w:rPr>
        <w:t>DC 电源接口：</w:t>
      </w:r>
      <w:r>
        <w:rPr>
          <w:rFonts w:hint="default" w:ascii="Arial" w:hAnsi="Arial" w:cs="Arial"/>
          <w:spacing w:val="15"/>
        </w:rPr>
        <w:t>用于连接外部电源适配器（如 5V/12V 直流输入），部分主板芯片支持通过 USB 供电</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81"/>
        <w:gridCol w:w="1541"/>
        <w:gridCol w:w="1024"/>
        <w:gridCol w:w="3039"/>
        <w:gridCol w:w="1321"/>
      </w:tblGrid>
      <w:tr w14:paraId="08FDB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5" w:hRule="atLeast"/>
          <w:tblCellSpacing w:w="0" w:type="dxa"/>
        </w:trPr>
        <w:tc>
          <w:tcPr>
            <w:tcW w:w="1069" w:type="dxa"/>
            <w:shd w:val="clear" w:color="auto" w:fill="auto"/>
            <w:vAlign w:val="center"/>
          </w:tcPr>
          <w:p w14:paraId="384CCA28">
            <w:pPr>
              <w:pStyle w:val="2"/>
              <w:keepNext w:val="0"/>
              <w:keepLines w:val="0"/>
              <w:widowControl/>
              <w:suppressLineNumbers w:val="0"/>
              <w:spacing w:line="210" w:lineRule="atLeast"/>
              <w:jc w:val="center"/>
            </w:pPr>
            <w:r>
              <w:rPr>
                <w:rStyle w:val="5"/>
                <w:rFonts w:ascii="Arial" w:hAnsi="Arial" w:cs="Arial"/>
                <w:color w:val="212122"/>
                <w:spacing w:val="0"/>
                <w:sz w:val="18"/>
                <w:szCs w:val="18"/>
              </w:rPr>
              <w:t>型号</w:t>
            </w:r>
          </w:p>
        </w:tc>
        <w:tc>
          <w:tcPr>
            <w:tcW w:w="1341" w:type="dxa"/>
            <w:shd w:val="clear" w:color="auto" w:fill="auto"/>
            <w:vAlign w:val="center"/>
          </w:tcPr>
          <w:p w14:paraId="686800CB">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1180" w:type="dxa"/>
            <w:shd w:val="clear" w:color="auto" w:fill="auto"/>
            <w:vAlign w:val="center"/>
          </w:tcPr>
          <w:p w14:paraId="3060F085">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1715" w:type="dxa"/>
            <w:shd w:val="clear" w:color="auto" w:fill="auto"/>
            <w:vAlign w:val="center"/>
          </w:tcPr>
          <w:p w14:paraId="32D8A795">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1036" w:type="dxa"/>
            <w:shd w:val="clear" w:color="auto" w:fill="auto"/>
            <w:vAlign w:val="center"/>
          </w:tcPr>
          <w:p w14:paraId="311057DB">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r>
      <w:tr w14:paraId="40447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5" w:hRule="atLeast"/>
          <w:tblCellSpacing w:w="0" w:type="dxa"/>
        </w:trPr>
        <w:tc>
          <w:tcPr>
            <w:tcW w:w="0" w:type="auto"/>
            <w:shd w:val="clear" w:color="auto" w:fill="auto"/>
            <w:vAlign w:val="center"/>
          </w:tcPr>
          <w:p w14:paraId="7CCC0A01">
            <w:pPr>
              <w:pStyle w:val="2"/>
              <w:keepNext w:val="0"/>
              <w:keepLines w:val="0"/>
              <w:widowControl/>
              <w:suppressLineNumbers w:val="0"/>
              <w:spacing w:line="210" w:lineRule="atLeast"/>
              <w:jc w:val="center"/>
            </w:pPr>
            <w:r>
              <w:rPr>
                <w:rFonts w:hint="default" w:ascii="Arial" w:hAnsi="Arial" w:cs="Arial"/>
                <w:color w:val="212122"/>
                <w:spacing w:val="0"/>
                <w:sz w:val="18"/>
                <w:szCs w:val="18"/>
              </w:rPr>
              <w:t>3R090L</w:t>
            </w:r>
          </w:p>
        </w:tc>
        <w:tc>
          <w:tcPr>
            <w:tcW w:w="0" w:type="auto"/>
            <w:shd w:val="clear" w:color="auto" w:fill="auto"/>
            <w:vAlign w:val="center"/>
          </w:tcPr>
          <w:p w14:paraId="2720461D">
            <w:pPr>
              <w:pStyle w:val="2"/>
              <w:keepNext w:val="0"/>
              <w:keepLines w:val="0"/>
              <w:widowControl/>
              <w:suppressLineNumbers w:val="0"/>
              <w:spacing w:line="210" w:lineRule="atLeast"/>
              <w:jc w:val="center"/>
            </w:pPr>
            <w:r>
              <w:rPr>
                <w:rFonts w:hint="default" w:ascii="Arial" w:hAnsi="Arial" w:cs="Arial"/>
                <w:color w:val="212122"/>
                <w:spacing w:val="0"/>
                <w:sz w:val="18"/>
                <w:szCs w:val="18"/>
              </w:rPr>
              <w:t>GDT</w:t>
            </w:r>
          </w:p>
        </w:tc>
        <w:tc>
          <w:tcPr>
            <w:tcW w:w="0" w:type="auto"/>
            <w:shd w:val="clear" w:color="auto" w:fill="auto"/>
            <w:vAlign w:val="center"/>
          </w:tcPr>
          <w:p w14:paraId="4D3F75ED">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电源接口</w:t>
            </w:r>
          </w:p>
        </w:tc>
        <w:tc>
          <w:tcPr>
            <w:tcW w:w="0" w:type="auto"/>
            <w:shd w:val="clear" w:color="auto" w:fill="auto"/>
            <w:vAlign w:val="center"/>
          </w:tcPr>
          <w:p w14:paraId="21740896">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浪涌，防雷（户外产品，关注续流问题）</w:t>
            </w:r>
          </w:p>
        </w:tc>
        <w:tc>
          <w:tcPr>
            <w:tcW w:w="0" w:type="auto"/>
            <w:shd w:val="clear" w:color="auto" w:fill="auto"/>
            <w:vAlign w:val="center"/>
          </w:tcPr>
          <w:p w14:paraId="625F3E53">
            <w:pPr>
              <w:pStyle w:val="2"/>
              <w:keepNext w:val="0"/>
              <w:keepLines w:val="0"/>
              <w:widowControl/>
              <w:suppressLineNumbers w:val="0"/>
              <w:spacing w:line="210" w:lineRule="atLeast"/>
              <w:jc w:val="center"/>
            </w:pPr>
            <w:r>
              <w:rPr>
                <w:rFonts w:hint="default" w:ascii="Arial" w:hAnsi="Arial" w:cs="Arial"/>
                <w:color w:val="212122"/>
                <w:spacing w:val="0"/>
                <w:sz w:val="18"/>
                <w:szCs w:val="18"/>
              </w:rPr>
              <w:t>3RXXXL</w:t>
            </w:r>
          </w:p>
        </w:tc>
      </w:tr>
      <w:tr w14:paraId="1F2F8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blCellSpacing w:w="0" w:type="dxa"/>
        </w:trPr>
        <w:tc>
          <w:tcPr>
            <w:tcW w:w="0" w:type="auto"/>
            <w:shd w:val="clear" w:color="auto" w:fill="auto"/>
            <w:vAlign w:val="center"/>
          </w:tcPr>
          <w:p w14:paraId="1BA42315">
            <w:pPr>
              <w:pStyle w:val="2"/>
              <w:keepNext w:val="0"/>
              <w:keepLines w:val="0"/>
              <w:widowControl/>
              <w:suppressLineNumbers w:val="0"/>
              <w:spacing w:line="210" w:lineRule="atLeast"/>
              <w:jc w:val="center"/>
            </w:pPr>
            <w:r>
              <w:rPr>
                <w:rFonts w:hint="default" w:ascii="Arial" w:hAnsi="Arial" w:cs="Arial"/>
                <w:color w:val="212122"/>
                <w:spacing w:val="0"/>
                <w:sz w:val="18"/>
                <w:szCs w:val="18"/>
              </w:rPr>
              <w:t>SMBJ6.5CA</w:t>
            </w:r>
          </w:p>
        </w:tc>
        <w:tc>
          <w:tcPr>
            <w:tcW w:w="0" w:type="auto"/>
            <w:shd w:val="clear" w:color="auto" w:fill="auto"/>
            <w:vAlign w:val="center"/>
          </w:tcPr>
          <w:p w14:paraId="7DF4E634">
            <w:pPr>
              <w:pStyle w:val="2"/>
              <w:keepNext w:val="0"/>
              <w:keepLines w:val="0"/>
              <w:widowControl/>
              <w:suppressLineNumbers w:val="0"/>
              <w:spacing w:line="210" w:lineRule="atLeast"/>
              <w:jc w:val="center"/>
            </w:pPr>
            <w:r>
              <w:rPr>
                <w:rFonts w:hint="default" w:ascii="Arial" w:hAnsi="Arial" w:cs="Arial"/>
                <w:color w:val="212122"/>
                <w:spacing w:val="0"/>
                <w:sz w:val="18"/>
                <w:szCs w:val="18"/>
              </w:rPr>
              <w:t>TVS 瞬态抑制二极管</w:t>
            </w:r>
          </w:p>
        </w:tc>
        <w:tc>
          <w:tcPr>
            <w:tcW w:w="0" w:type="auto"/>
            <w:shd w:val="clear" w:color="auto" w:fill="auto"/>
            <w:vAlign w:val="center"/>
          </w:tcPr>
          <w:p w14:paraId="7B25C3DB">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电源接口</w:t>
            </w:r>
          </w:p>
        </w:tc>
        <w:tc>
          <w:tcPr>
            <w:tcW w:w="0" w:type="auto"/>
            <w:shd w:val="clear" w:color="auto" w:fill="auto"/>
            <w:vAlign w:val="center"/>
          </w:tcPr>
          <w:p w14:paraId="0A857E77">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浪涌、抛负载</w:t>
            </w:r>
          </w:p>
        </w:tc>
        <w:tc>
          <w:tcPr>
            <w:tcW w:w="0" w:type="auto"/>
            <w:shd w:val="clear" w:color="auto" w:fill="auto"/>
            <w:vAlign w:val="center"/>
          </w:tcPr>
          <w:p w14:paraId="11D184D9">
            <w:pPr>
              <w:pStyle w:val="2"/>
              <w:keepNext w:val="0"/>
              <w:keepLines w:val="0"/>
              <w:widowControl/>
              <w:suppressLineNumbers w:val="0"/>
              <w:spacing w:line="210" w:lineRule="atLeast"/>
              <w:jc w:val="center"/>
            </w:pPr>
            <w:r>
              <w:rPr>
                <w:rFonts w:hint="default" w:ascii="Arial" w:hAnsi="Arial" w:cs="Arial"/>
                <w:color w:val="212122"/>
                <w:spacing w:val="0"/>
                <w:sz w:val="18"/>
                <w:szCs w:val="18"/>
              </w:rPr>
              <w:t>SMB/Do-214AA </w:t>
            </w:r>
          </w:p>
        </w:tc>
      </w:tr>
      <w:tr w14:paraId="5077D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blCellSpacing w:w="0" w:type="dxa"/>
        </w:trPr>
        <w:tc>
          <w:tcPr>
            <w:tcW w:w="0" w:type="auto"/>
            <w:shd w:val="clear" w:color="auto" w:fill="auto"/>
            <w:vAlign w:val="center"/>
          </w:tcPr>
          <w:p w14:paraId="2C6D0AC5">
            <w:pPr>
              <w:pStyle w:val="2"/>
              <w:keepNext w:val="0"/>
              <w:keepLines w:val="0"/>
              <w:widowControl/>
              <w:suppressLineNumbers w:val="0"/>
              <w:spacing w:line="210" w:lineRule="atLeast"/>
              <w:jc w:val="center"/>
            </w:pPr>
            <w:r>
              <w:rPr>
                <w:rFonts w:hint="default" w:ascii="Arial" w:hAnsi="Arial" w:cs="Arial"/>
                <w:color w:val="212122"/>
                <w:spacing w:val="0"/>
                <w:sz w:val="18"/>
                <w:szCs w:val="18"/>
              </w:rPr>
              <w:t>SMCJ15CA</w:t>
            </w:r>
          </w:p>
        </w:tc>
        <w:tc>
          <w:tcPr>
            <w:tcW w:w="0" w:type="auto"/>
            <w:shd w:val="clear" w:color="auto" w:fill="auto"/>
            <w:vAlign w:val="center"/>
          </w:tcPr>
          <w:p w14:paraId="6CCF9655">
            <w:pPr>
              <w:pStyle w:val="2"/>
              <w:keepNext w:val="0"/>
              <w:keepLines w:val="0"/>
              <w:widowControl/>
              <w:suppressLineNumbers w:val="0"/>
              <w:spacing w:line="210" w:lineRule="atLeast"/>
              <w:jc w:val="center"/>
            </w:pPr>
            <w:r>
              <w:rPr>
                <w:rFonts w:hint="default" w:ascii="Arial" w:hAnsi="Arial" w:cs="Arial"/>
                <w:color w:val="212122"/>
                <w:spacing w:val="0"/>
                <w:sz w:val="18"/>
                <w:szCs w:val="18"/>
              </w:rPr>
              <w:t>TVS  瞬态抑制二极管</w:t>
            </w:r>
          </w:p>
        </w:tc>
        <w:tc>
          <w:tcPr>
            <w:tcW w:w="0" w:type="auto"/>
            <w:shd w:val="clear" w:color="auto" w:fill="auto"/>
            <w:vAlign w:val="center"/>
          </w:tcPr>
          <w:p w14:paraId="56ADE9F5">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电源接口</w:t>
            </w:r>
          </w:p>
        </w:tc>
        <w:tc>
          <w:tcPr>
            <w:tcW w:w="0" w:type="auto"/>
            <w:shd w:val="clear" w:color="auto" w:fill="auto"/>
            <w:vAlign w:val="center"/>
          </w:tcPr>
          <w:p w14:paraId="5BD30AC4">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浪涌、抛负载</w:t>
            </w:r>
          </w:p>
        </w:tc>
        <w:tc>
          <w:tcPr>
            <w:tcW w:w="0" w:type="auto"/>
            <w:shd w:val="clear" w:color="auto" w:fill="auto"/>
            <w:vAlign w:val="center"/>
          </w:tcPr>
          <w:p w14:paraId="5669040D">
            <w:pPr>
              <w:pStyle w:val="2"/>
              <w:keepNext w:val="0"/>
              <w:keepLines w:val="0"/>
              <w:widowControl/>
              <w:suppressLineNumbers w:val="0"/>
              <w:spacing w:line="210" w:lineRule="atLeast"/>
              <w:jc w:val="center"/>
            </w:pPr>
            <w:r>
              <w:rPr>
                <w:rFonts w:hint="default" w:ascii="Arial" w:hAnsi="Arial" w:cs="Arial"/>
                <w:color w:val="212122"/>
                <w:spacing w:val="0"/>
                <w:sz w:val="18"/>
                <w:szCs w:val="18"/>
              </w:rPr>
              <w:t>SMC/Do-214AB</w:t>
            </w:r>
          </w:p>
        </w:tc>
      </w:tr>
      <w:tr w14:paraId="26C1A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blCellSpacing w:w="0" w:type="dxa"/>
        </w:trPr>
        <w:tc>
          <w:tcPr>
            <w:tcW w:w="0" w:type="auto"/>
            <w:shd w:val="clear" w:color="auto" w:fill="auto"/>
            <w:vAlign w:val="center"/>
          </w:tcPr>
          <w:p w14:paraId="0B2A477A">
            <w:pPr>
              <w:pStyle w:val="2"/>
              <w:keepNext w:val="0"/>
              <w:keepLines w:val="0"/>
              <w:widowControl/>
              <w:suppressLineNumbers w:val="0"/>
              <w:spacing w:line="210" w:lineRule="atLeast"/>
              <w:jc w:val="center"/>
            </w:pPr>
            <w:r>
              <w:rPr>
                <w:rFonts w:hint="default" w:ascii="Arial" w:hAnsi="Arial" w:cs="Arial"/>
                <w:color w:val="212122"/>
                <w:spacing w:val="0"/>
                <w:sz w:val="18"/>
                <w:szCs w:val="18"/>
              </w:rPr>
              <w:t>CMZ7060A-701T</w:t>
            </w:r>
          </w:p>
        </w:tc>
        <w:tc>
          <w:tcPr>
            <w:tcW w:w="0" w:type="auto"/>
            <w:shd w:val="clear" w:color="auto" w:fill="auto"/>
            <w:vAlign w:val="center"/>
          </w:tcPr>
          <w:p w14:paraId="6176F9E8">
            <w:pPr>
              <w:pStyle w:val="2"/>
              <w:keepNext w:val="0"/>
              <w:keepLines w:val="0"/>
              <w:widowControl/>
              <w:suppressLineNumbers w:val="0"/>
              <w:spacing w:line="210" w:lineRule="atLeast"/>
              <w:jc w:val="center"/>
            </w:pPr>
            <w:r>
              <w:rPr>
                <w:rFonts w:hint="default" w:ascii="Arial" w:hAnsi="Arial" w:cs="Arial"/>
                <w:color w:val="212122"/>
                <w:spacing w:val="0"/>
                <w:sz w:val="18"/>
                <w:szCs w:val="18"/>
              </w:rPr>
              <w:t>EMI 共模抑制器</w:t>
            </w:r>
          </w:p>
        </w:tc>
        <w:tc>
          <w:tcPr>
            <w:tcW w:w="0" w:type="auto"/>
            <w:shd w:val="clear" w:color="auto" w:fill="auto"/>
            <w:vAlign w:val="center"/>
          </w:tcPr>
          <w:p w14:paraId="6B9EEF62">
            <w:pPr>
              <w:pStyle w:val="2"/>
              <w:keepNext w:val="0"/>
              <w:keepLines w:val="0"/>
              <w:widowControl/>
              <w:suppressLineNumbers w:val="0"/>
              <w:spacing w:line="210" w:lineRule="atLeast"/>
              <w:jc w:val="center"/>
            </w:pPr>
            <w:r>
              <w:rPr>
                <w:rFonts w:hint="default" w:ascii="Arial" w:hAnsi="Arial" w:cs="Arial"/>
                <w:color w:val="212122"/>
                <w:spacing w:val="0"/>
                <w:sz w:val="18"/>
                <w:szCs w:val="18"/>
              </w:rPr>
              <w:t>电源接口</w:t>
            </w:r>
          </w:p>
        </w:tc>
        <w:tc>
          <w:tcPr>
            <w:tcW w:w="0" w:type="auto"/>
            <w:shd w:val="clear" w:color="auto" w:fill="auto"/>
            <w:vAlign w:val="center"/>
          </w:tcPr>
          <w:p w14:paraId="2700D7E7">
            <w:pPr>
              <w:pStyle w:val="2"/>
              <w:keepNext w:val="0"/>
              <w:keepLines w:val="0"/>
              <w:widowControl/>
              <w:suppressLineNumbers w:val="0"/>
              <w:spacing w:line="210" w:lineRule="atLeast"/>
              <w:jc w:val="center"/>
            </w:pPr>
            <w:r>
              <w:rPr>
                <w:rFonts w:hint="default" w:ascii="Arial" w:hAnsi="Arial" w:cs="Arial"/>
                <w:color w:val="212122"/>
                <w:spacing w:val="0"/>
                <w:sz w:val="18"/>
                <w:szCs w:val="18"/>
              </w:rPr>
              <w:t>CE传导，共模抑制，电流更小，考虑小封装</w:t>
            </w:r>
          </w:p>
        </w:tc>
        <w:tc>
          <w:tcPr>
            <w:tcW w:w="0" w:type="auto"/>
            <w:shd w:val="clear" w:color="auto" w:fill="auto"/>
            <w:vAlign w:val="center"/>
          </w:tcPr>
          <w:p w14:paraId="485E1A0B">
            <w:pPr>
              <w:pStyle w:val="2"/>
              <w:keepNext w:val="0"/>
              <w:keepLines w:val="0"/>
              <w:widowControl/>
              <w:suppressLineNumbers w:val="0"/>
              <w:spacing w:line="210" w:lineRule="atLeast"/>
              <w:jc w:val="center"/>
            </w:pPr>
            <w:r>
              <w:rPr>
                <w:rFonts w:hint="default" w:ascii="Arial" w:hAnsi="Arial" w:cs="Arial"/>
                <w:color w:val="212122"/>
                <w:spacing w:val="0"/>
                <w:sz w:val="18"/>
                <w:szCs w:val="18"/>
              </w:rPr>
              <w:t>7060</w:t>
            </w:r>
          </w:p>
        </w:tc>
      </w:tr>
    </w:tbl>
    <w:p w14:paraId="5889275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BF4E2AA">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5"/>
          <w:rFonts w:ascii="宋体" w:hAnsi="宋体" w:eastAsia="宋体" w:cs="宋体"/>
          <w:spacing w:val="0"/>
          <w:kern w:val="0"/>
          <w:sz w:val="24"/>
          <w:szCs w:val="24"/>
          <w:lang w:val="en-US" w:eastAsia="zh-CN" w:bidi="ar"/>
        </w:rPr>
        <w:t>USB接口EMC及热插拔可靠性设计</w:t>
      </w:r>
    </w:p>
    <w:p w14:paraId="22BBAA17">
      <w:pPr>
        <w:pStyle w:val="2"/>
        <w:keepNext w:val="0"/>
        <w:keepLines w:val="0"/>
        <w:widowControl/>
        <w:suppressLineNumbers w:val="0"/>
        <w:jc w:val="center"/>
      </w:pPr>
      <w:r>
        <w:rPr>
          <w:vertAlign w:val="baseline"/>
        </w:rPr>
        <w:drawing>
          <wp:inline distT="0" distB="0" distL="114300" distR="114300">
            <wp:extent cx="4857750" cy="25336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1"/>
                    <a:stretch>
                      <a:fillRect/>
                    </a:stretch>
                  </pic:blipFill>
                  <pic:spPr>
                    <a:xfrm>
                      <a:off x="0" y="0"/>
                      <a:ext cx="4857750" cy="2533650"/>
                    </a:xfrm>
                    <a:prstGeom prst="rect">
                      <a:avLst/>
                    </a:prstGeom>
                    <a:noFill/>
                    <a:ln w="9525">
                      <a:noFill/>
                    </a:ln>
                  </pic:spPr>
                </pic:pic>
              </a:graphicData>
            </a:graphic>
          </wp:inline>
        </w:drawing>
      </w:r>
    </w:p>
    <w:p w14:paraId="442AEB42">
      <w:pPr>
        <w:pStyle w:val="2"/>
        <w:keepNext w:val="0"/>
        <w:keepLines w:val="0"/>
        <w:widowControl/>
        <w:suppressLineNumbers w:val="0"/>
        <w:spacing w:line="315" w:lineRule="atLeast"/>
      </w:pPr>
      <w:r>
        <w:rPr>
          <w:rStyle w:val="5"/>
          <w:rFonts w:hint="default" w:ascii="Arial" w:hAnsi="Arial" w:cs="Arial"/>
          <w:spacing w:val="15"/>
        </w:rPr>
        <w:t>USB-Type-C 接口:</w:t>
      </w:r>
    </w:p>
    <w:p w14:paraId="0D11198F">
      <w:pPr>
        <w:pStyle w:val="2"/>
        <w:keepNext w:val="0"/>
        <w:keepLines w:val="0"/>
        <w:widowControl/>
        <w:suppressLineNumbers w:val="0"/>
        <w:spacing w:line="315" w:lineRule="atLeast"/>
      </w:pPr>
      <w:r>
        <w:rPr>
          <w:rFonts w:hint="default" w:ascii="Arial" w:hAnsi="Arial" w:cs="Arial"/>
          <w:spacing w:val="15"/>
        </w:rPr>
        <w:t>USB接口具有高速数据传输能力，广泛应用于机器人与外部存储设备、传感器等的连接。其高速模式下的数据传输速率可达5Gbps，能快速传输大量数据，如机器人视觉图像数据</w:t>
      </w:r>
    </w:p>
    <w:p w14:paraId="35F6412F">
      <w:pPr>
        <w:pStyle w:val="2"/>
        <w:keepNext w:val="0"/>
        <w:keepLines w:val="0"/>
        <w:widowControl/>
        <w:suppressLineNumbers w:val="0"/>
        <w:spacing w:line="315" w:lineRule="atLeast"/>
      </w:pPr>
      <w:r>
        <w:rPr>
          <w:rFonts w:hint="default" w:ascii="Arial" w:hAnsi="Arial" w:cs="Arial"/>
          <w:spacing w:val="15"/>
        </w:rPr>
        <w:t>具备即插即用特性，方便用户随时连接和更换设备，提高机器人使用的便捷性，在各类机器人应用场景中发挥着关键作用</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109"/>
        <w:gridCol w:w="1734"/>
        <w:gridCol w:w="1552"/>
        <w:gridCol w:w="1543"/>
        <w:gridCol w:w="1368"/>
      </w:tblGrid>
      <w:tr w14:paraId="2D11E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5" w:hRule="atLeast"/>
          <w:tblCellSpacing w:w="0" w:type="dxa"/>
        </w:trPr>
        <w:tc>
          <w:tcPr>
            <w:tcW w:w="1608" w:type="dxa"/>
            <w:shd w:val="clear" w:color="auto" w:fill="auto"/>
            <w:vAlign w:val="center"/>
          </w:tcPr>
          <w:p w14:paraId="15BA536F">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型号</w:t>
            </w:r>
          </w:p>
        </w:tc>
        <w:tc>
          <w:tcPr>
            <w:tcW w:w="1322" w:type="dxa"/>
            <w:shd w:val="clear" w:color="auto" w:fill="auto"/>
            <w:vAlign w:val="center"/>
          </w:tcPr>
          <w:p w14:paraId="45A93055">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1183" w:type="dxa"/>
            <w:shd w:val="clear" w:color="auto" w:fill="auto"/>
            <w:vAlign w:val="center"/>
          </w:tcPr>
          <w:p w14:paraId="34379613">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1176" w:type="dxa"/>
            <w:shd w:val="clear" w:color="auto" w:fill="auto"/>
            <w:vAlign w:val="center"/>
          </w:tcPr>
          <w:p w14:paraId="4A6EA99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1043" w:type="dxa"/>
            <w:shd w:val="clear" w:color="auto" w:fill="auto"/>
            <w:vAlign w:val="center"/>
          </w:tcPr>
          <w:p w14:paraId="63BE759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r>
      <w:tr w14:paraId="59925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blCellSpacing w:w="0" w:type="dxa"/>
        </w:trPr>
        <w:tc>
          <w:tcPr>
            <w:tcW w:w="0" w:type="auto"/>
            <w:shd w:val="clear" w:color="auto" w:fill="auto"/>
            <w:vAlign w:val="center"/>
          </w:tcPr>
          <w:p w14:paraId="5CF1EC69">
            <w:pPr>
              <w:pStyle w:val="2"/>
              <w:keepNext w:val="0"/>
              <w:keepLines w:val="0"/>
              <w:widowControl/>
              <w:suppressLineNumbers w:val="0"/>
              <w:spacing w:line="210" w:lineRule="atLeast"/>
              <w:jc w:val="center"/>
            </w:pPr>
            <w:r>
              <w:rPr>
                <w:rFonts w:hint="default" w:ascii="Arial" w:hAnsi="Arial" w:cs="Arial"/>
                <w:color w:val="212122"/>
                <w:spacing w:val="0"/>
                <w:sz w:val="18"/>
                <w:szCs w:val="18"/>
              </w:rPr>
              <w:t>ESD0524P</w:t>
            </w:r>
          </w:p>
        </w:tc>
        <w:tc>
          <w:tcPr>
            <w:tcW w:w="0" w:type="auto"/>
            <w:shd w:val="clear" w:color="auto" w:fill="auto"/>
            <w:vAlign w:val="center"/>
          </w:tcPr>
          <w:p w14:paraId="1857367E">
            <w:pPr>
              <w:pStyle w:val="2"/>
              <w:keepNext w:val="0"/>
              <w:keepLines w:val="0"/>
              <w:widowControl/>
              <w:suppressLineNumbers w:val="0"/>
              <w:spacing w:line="210" w:lineRule="atLeast"/>
              <w:jc w:val="center"/>
            </w:pPr>
            <w:r>
              <w:rPr>
                <w:rFonts w:hint="default" w:ascii="Arial" w:hAnsi="Arial" w:cs="Arial"/>
                <w:color w:val="212122"/>
                <w:spacing w:val="0"/>
                <w:sz w:val="18"/>
                <w:szCs w:val="18"/>
              </w:rPr>
              <w:t>ESD</w:t>
            </w:r>
          </w:p>
        </w:tc>
        <w:tc>
          <w:tcPr>
            <w:tcW w:w="0" w:type="auto"/>
            <w:shd w:val="clear" w:color="auto" w:fill="auto"/>
            <w:vAlign w:val="center"/>
          </w:tcPr>
          <w:p w14:paraId="29D0C830">
            <w:pPr>
              <w:pStyle w:val="2"/>
              <w:keepNext w:val="0"/>
              <w:keepLines w:val="0"/>
              <w:widowControl/>
              <w:suppressLineNumbers w:val="0"/>
              <w:spacing w:line="210" w:lineRule="atLeast"/>
              <w:jc w:val="center"/>
            </w:pPr>
            <w:r>
              <w:rPr>
                <w:rFonts w:hint="default" w:ascii="Arial" w:hAnsi="Arial" w:cs="Arial"/>
                <w:color w:val="212122"/>
                <w:spacing w:val="0"/>
                <w:sz w:val="18"/>
                <w:szCs w:val="18"/>
              </w:rPr>
              <w:t>USB接口</w:t>
            </w:r>
          </w:p>
        </w:tc>
        <w:tc>
          <w:tcPr>
            <w:tcW w:w="0" w:type="auto"/>
            <w:shd w:val="clear" w:color="auto" w:fill="auto"/>
            <w:vAlign w:val="center"/>
          </w:tcPr>
          <w:p w14:paraId="0591708C">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浪涌、静电</w:t>
            </w:r>
          </w:p>
        </w:tc>
        <w:tc>
          <w:tcPr>
            <w:tcW w:w="0" w:type="auto"/>
            <w:shd w:val="clear" w:color="auto" w:fill="auto"/>
            <w:vAlign w:val="center"/>
          </w:tcPr>
          <w:p w14:paraId="6DEAEB65">
            <w:pPr>
              <w:pStyle w:val="2"/>
              <w:keepNext w:val="0"/>
              <w:keepLines w:val="0"/>
              <w:widowControl/>
              <w:suppressLineNumbers w:val="0"/>
              <w:spacing w:line="210" w:lineRule="atLeast"/>
              <w:jc w:val="center"/>
            </w:pPr>
            <w:r>
              <w:rPr>
                <w:rFonts w:hint="default" w:ascii="Arial" w:hAnsi="Arial" w:cs="Arial"/>
                <w:color w:val="212122"/>
                <w:spacing w:val="0"/>
                <w:sz w:val="18"/>
                <w:szCs w:val="18"/>
              </w:rPr>
              <w:t>DFN2510</w:t>
            </w:r>
          </w:p>
        </w:tc>
      </w:tr>
      <w:tr w14:paraId="6331E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blCellSpacing w:w="0" w:type="dxa"/>
        </w:trPr>
        <w:tc>
          <w:tcPr>
            <w:tcW w:w="0" w:type="auto"/>
            <w:shd w:val="clear" w:color="auto" w:fill="auto"/>
            <w:vAlign w:val="center"/>
          </w:tcPr>
          <w:p w14:paraId="14065C66">
            <w:pPr>
              <w:pStyle w:val="2"/>
              <w:keepNext w:val="0"/>
              <w:keepLines w:val="0"/>
              <w:widowControl/>
              <w:suppressLineNumbers w:val="0"/>
              <w:spacing w:line="210" w:lineRule="atLeast"/>
              <w:jc w:val="center"/>
            </w:pPr>
            <w:r>
              <w:rPr>
                <w:rFonts w:hint="default" w:ascii="Arial" w:hAnsi="Arial" w:cs="Arial"/>
                <w:color w:val="212122"/>
                <w:spacing w:val="0"/>
                <w:sz w:val="18"/>
                <w:szCs w:val="18"/>
              </w:rPr>
              <w:t>ESDSR05</w:t>
            </w:r>
          </w:p>
        </w:tc>
        <w:tc>
          <w:tcPr>
            <w:tcW w:w="0" w:type="auto"/>
            <w:shd w:val="clear" w:color="auto" w:fill="auto"/>
            <w:vAlign w:val="center"/>
          </w:tcPr>
          <w:p w14:paraId="19FC922F">
            <w:pPr>
              <w:pStyle w:val="2"/>
              <w:keepNext w:val="0"/>
              <w:keepLines w:val="0"/>
              <w:widowControl/>
              <w:suppressLineNumbers w:val="0"/>
              <w:spacing w:line="210" w:lineRule="atLeast"/>
              <w:jc w:val="center"/>
            </w:pPr>
            <w:r>
              <w:rPr>
                <w:rFonts w:hint="default" w:ascii="Arial" w:hAnsi="Arial" w:cs="Arial"/>
                <w:color w:val="212122"/>
                <w:spacing w:val="0"/>
                <w:sz w:val="18"/>
                <w:szCs w:val="18"/>
              </w:rPr>
              <w:t>ESD</w:t>
            </w:r>
          </w:p>
        </w:tc>
        <w:tc>
          <w:tcPr>
            <w:tcW w:w="0" w:type="auto"/>
            <w:shd w:val="clear" w:color="auto" w:fill="auto"/>
            <w:vAlign w:val="center"/>
          </w:tcPr>
          <w:p w14:paraId="1722150D">
            <w:pPr>
              <w:pStyle w:val="2"/>
              <w:keepNext w:val="0"/>
              <w:keepLines w:val="0"/>
              <w:widowControl/>
              <w:suppressLineNumbers w:val="0"/>
              <w:spacing w:line="210" w:lineRule="atLeast"/>
              <w:jc w:val="center"/>
            </w:pPr>
            <w:r>
              <w:rPr>
                <w:rFonts w:hint="default" w:ascii="Arial" w:hAnsi="Arial" w:cs="Arial"/>
                <w:color w:val="212122"/>
                <w:spacing w:val="0"/>
                <w:sz w:val="18"/>
                <w:szCs w:val="18"/>
              </w:rPr>
              <w:t>USB接口</w:t>
            </w:r>
          </w:p>
        </w:tc>
        <w:tc>
          <w:tcPr>
            <w:tcW w:w="0" w:type="auto"/>
            <w:shd w:val="clear" w:color="auto" w:fill="auto"/>
            <w:vAlign w:val="center"/>
          </w:tcPr>
          <w:p w14:paraId="548D9658">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浪涌、静电</w:t>
            </w:r>
          </w:p>
        </w:tc>
        <w:tc>
          <w:tcPr>
            <w:tcW w:w="0" w:type="auto"/>
            <w:shd w:val="clear" w:color="auto" w:fill="auto"/>
            <w:vAlign w:val="center"/>
          </w:tcPr>
          <w:p w14:paraId="4401F7C6">
            <w:pPr>
              <w:pStyle w:val="2"/>
              <w:keepNext w:val="0"/>
              <w:keepLines w:val="0"/>
              <w:widowControl/>
              <w:suppressLineNumbers w:val="0"/>
              <w:spacing w:line="210" w:lineRule="atLeast"/>
              <w:jc w:val="center"/>
            </w:pPr>
            <w:r>
              <w:rPr>
                <w:rFonts w:hint="default" w:ascii="Arial" w:hAnsi="Arial" w:cs="Arial"/>
                <w:color w:val="212122"/>
                <w:spacing w:val="0"/>
                <w:sz w:val="18"/>
                <w:szCs w:val="18"/>
              </w:rPr>
              <w:t>SOT143</w:t>
            </w:r>
          </w:p>
        </w:tc>
      </w:tr>
      <w:tr w14:paraId="63557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blCellSpacing w:w="0" w:type="dxa"/>
        </w:trPr>
        <w:tc>
          <w:tcPr>
            <w:tcW w:w="0" w:type="auto"/>
            <w:shd w:val="clear" w:color="auto" w:fill="auto"/>
            <w:vAlign w:val="center"/>
          </w:tcPr>
          <w:p w14:paraId="33C6E096">
            <w:pPr>
              <w:pStyle w:val="2"/>
              <w:keepNext w:val="0"/>
              <w:keepLines w:val="0"/>
              <w:widowControl/>
              <w:suppressLineNumbers w:val="0"/>
              <w:spacing w:line="210" w:lineRule="atLeast"/>
              <w:jc w:val="center"/>
            </w:pPr>
            <w:r>
              <w:rPr>
                <w:rFonts w:hint="default" w:ascii="Arial" w:hAnsi="Arial" w:cs="Arial"/>
                <w:color w:val="212122"/>
                <w:spacing w:val="0"/>
                <w:sz w:val="18"/>
                <w:szCs w:val="18"/>
              </w:rPr>
              <w:t>CMZ2012A-900T</w:t>
            </w:r>
          </w:p>
        </w:tc>
        <w:tc>
          <w:tcPr>
            <w:tcW w:w="0" w:type="auto"/>
            <w:shd w:val="clear" w:color="auto" w:fill="auto"/>
            <w:vAlign w:val="center"/>
          </w:tcPr>
          <w:p w14:paraId="5630E695">
            <w:pPr>
              <w:pStyle w:val="2"/>
              <w:keepNext w:val="0"/>
              <w:keepLines w:val="0"/>
              <w:widowControl/>
              <w:suppressLineNumbers w:val="0"/>
              <w:spacing w:line="210" w:lineRule="atLeast"/>
              <w:jc w:val="center"/>
            </w:pPr>
            <w:r>
              <w:rPr>
                <w:rFonts w:hint="default" w:ascii="Arial" w:hAnsi="Arial" w:cs="Arial"/>
                <w:color w:val="212122"/>
                <w:spacing w:val="0"/>
                <w:sz w:val="18"/>
                <w:szCs w:val="18"/>
              </w:rPr>
              <w:t>EMI 共模抑制器</w:t>
            </w:r>
          </w:p>
        </w:tc>
        <w:tc>
          <w:tcPr>
            <w:tcW w:w="0" w:type="auto"/>
            <w:shd w:val="clear" w:color="auto" w:fill="auto"/>
            <w:vAlign w:val="center"/>
          </w:tcPr>
          <w:p w14:paraId="0D905133">
            <w:pPr>
              <w:pStyle w:val="2"/>
              <w:keepNext w:val="0"/>
              <w:keepLines w:val="0"/>
              <w:widowControl/>
              <w:suppressLineNumbers w:val="0"/>
              <w:spacing w:line="210" w:lineRule="atLeast"/>
              <w:jc w:val="center"/>
            </w:pPr>
            <w:r>
              <w:rPr>
                <w:rFonts w:hint="default" w:ascii="Arial" w:hAnsi="Arial" w:cs="Arial"/>
                <w:color w:val="212122"/>
                <w:spacing w:val="0"/>
                <w:sz w:val="18"/>
                <w:szCs w:val="18"/>
              </w:rPr>
              <w:t>USB接口</w:t>
            </w:r>
          </w:p>
        </w:tc>
        <w:tc>
          <w:tcPr>
            <w:tcW w:w="0" w:type="auto"/>
            <w:shd w:val="clear" w:color="auto" w:fill="auto"/>
            <w:vAlign w:val="center"/>
          </w:tcPr>
          <w:p w14:paraId="732D467E">
            <w:pPr>
              <w:pStyle w:val="2"/>
              <w:keepNext w:val="0"/>
              <w:keepLines w:val="0"/>
              <w:widowControl/>
              <w:suppressLineNumbers w:val="0"/>
              <w:spacing w:line="210" w:lineRule="atLeast"/>
              <w:jc w:val="center"/>
            </w:pPr>
            <w:r>
              <w:rPr>
                <w:rFonts w:hint="default" w:ascii="Arial" w:hAnsi="Arial" w:cs="Arial"/>
                <w:color w:val="212122"/>
                <w:spacing w:val="0"/>
                <w:sz w:val="18"/>
                <w:szCs w:val="18"/>
              </w:rPr>
              <w:t>共模抑制</w:t>
            </w:r>
          </w:p>
        </w:tc>
        <w:tc>
          <w:tcPr>
            <w:tcW w:w="0" w:type="auto"/>
            <w:shd w:val="clear" w:color="auto" w:fill="auto"/>
            <w:vAlign w:val="center"/>
          </w:tcPr>
          <w:p w14:paraId="16DE1C56">
            <w:pPr>
              <w:pStyle w:val="2"/>
              <w:keepNext w:val="0"/>
              <w:keepLines w:val="0"/>
              <w:widowControl/>
              <w:suppressLineNumbers w:val="0"/>
              <w:spacing w:line="210" w:lineRule="atLeast"/>
              <w:jc w:val="center"/>
            </w:pPr>
            <w:r>
              <w:rPr>
                <w:rFonts w:hint="default" w:ascii="Arial" w:hAnsi="Arial" w:cs="Arial"/>
                <w:color w:val="212122"/>
                <w:spacing w:val="0"/>
                <w:sz w:val="18"/>
                <w:szCs w:val="18"/>
              </w:rPr>
              <w:t>2012</w:t>
            </w:r>
          </w:p>
        </w:tc>
      </w:tr>
    </w:tbl>
    <w:p w14:paraId="2E32DAD7">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5"/>
          <w:rFonts w:hint="default" w:ascii="Arial" w:hAnsi="Arial" w:eastAsia="宋体" w:cs="Arial"/>
          <w:color w:val="212122"/>
          <w:spacing w:val="15"/>
          <w:kern w:val="0"/>
          <w:sz w:val="24"/>
          <w:szCs w:val="24"/>
          <w:shd w:val="clear" w:fill="F0FBFF"/>
          <w:lang w:val="en-US" w:eastAsia="zh-CN" w:bidi="ar"/>
        </w:rPr>
        <w:t>RS-232 接口EMC及热插拔可靠性设计</w:t>
      </w:r>
    </w:p>
    <w:p w14:paraId="621D9588">
      <w:pPr>
        <w:pStyle w:val="2"/>
        <w:keepNext w:val="0"/>
        <w:keepLines w:val="0"/>
        <w:widowControl/>
        <w:suppressLineNumbers w:val="0"/>
        <w:jc w:val="center"/>
      </w:pPr>
      <w:r>
        <w:rPr>
          <w:vertAlign w:val="baseline"/>
        </w:rPr>
        <w:drawing>
          <wp:inline distT="0" distB="0" distL="114300" distR="114300">
            <wp:extent cx="3943350" cy="2886075"/>
            <wp:effectExtent l="0" t="0" r="0" b="9525"/>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2"/>
                    <a:stretch>
                      <a:fillRect/>
                    </a:stretch>
                  </pic:blipFill>
                  <pic:spPr>
                    <a:xfrm>
                      <a:off x="0" y="0"/>
                      <a:ext cx="3943350" cy="2886075"/>
                    </a:xfrm>
                    <a:prstGeom prst="rect">
                      <a:avLst/>
                    </a:prstGeom>
                    <a:noFill/>
                    <a:ln w="9525">
                      <a:noFill/>
                    </a:ln>
                  </pic:spPr>
                </pic:pic>
              </a:graphicData>
            </a:graphic>
          </wp:inline>
        </w:drawing>
      </w:r>
    </w:p>
    <w:p w14:paraId="067D450E">
      <w:pPr>
        <w:pStyle w:val="2"/>
        <w:keepNext w:val="0"/>
        <w:keepLines w:val="0"/>
        <w:widowControl/>
        <w:suppressLineNumbers w:val="0"/>
        <w:jc w:val="center"/>
      </w:pPr>
      <w:r>
        <w:rPr>
          <w:vertAlign w:val="baseline"/>
        </w:rPr>
        <w:drawing>
          <wp:inline distT="0" distB="0" distL="114300" distR="114300">
            <wp:extent cx="2981325" cy="2733675"/>
            <wp:effectExtent l="0" t="0" r="9525" b="9525"/>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3"/>
                    <a:stretch>
                      <a:fillRect/>
                    </a:stretch>
                  </pic:blipFill>
                  <pic:spPr>
                    <a:xfrm>
                      <a:off x="0" y="0"/>
                      <a:ext cx="2981325" cy="2733675"/>
                    </a:xfrm>
                    <a:prstGeom prst="rect">
                      <a:avLst/>
                    </a:prstGeom>
                    <a:noFill/>
                    <a:ln w="9525">
                      <a:noFill/>
                    </a:ln>
                  </pic:spPr>
                </pic:pic>
              </a:graphicData>
            </a:graphic>
          </wp:inline>
        </w:drawing>
      </w:r>
    </w:p>
    <w:p w14:paraId="318D5AC9">
      <w:pPr>
        <w:pStyle w:val="2"/>
        <w:keepNext w:val="0"/>
        <w:keepLines w:val="0"/>
        <w:widowControl/>
        <w:suppressLineNumbers w:val="0"/>
        <w:jc w:val="center"/>
      </w:pPr>
      <w:r>
        <w:rPr>
          <w:vertAlign w:val="baseline"/>
        </w:rPr>
        <w:drawing>
          <wp:inline distT="0" distB="0" distL="114300" distR="114300">
            <wp:extent cx="2438400" cy="2038350"/>
            <wp:effectExtent l="0" t="0" r="0" b="0"/>
            <wp:docPr id="1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69"/>
                    <pic:cNvPicPr>
                      <a:picLocks noChangeAspect="1"/>
                    </pic:cNvPicPr>
                  </pic:nvPicPr>
                  <pic:blipFill>
                    <a:blip r:embed="rId14"/>
                    <a:stretch>
                      <a:fillRect/>
                    </a:stretch>
                  </pic:blipFill>
                  <pic:spPr>
                    <a:xfrm>
                      <a:off x="0" y="0"/>
                      <a:ext cx="2438400" cy="2038350"/>
                    </a:xfrm>
                    <a:prstGeom prst="rect">
                      <a:avLst/>
                    </a:prstGeom>
                    <a:noFill/>
                    <a:ln w="9525">
                      <a:noFill/>
                    </a:ln>
                  </pic:spPr>
                </pic:pic>
              </a:graphicData>
            </a:graphic>
          </wp:inline>
        </w:drawing>
      </w:r>
    </w:p>
    <w:p w14:paraId="4C32E088">
      <w:pPr>
        <w:pStyle w:val="2"/>
        <w:keepNext w:val="0"/>
        <w:keepLines w:val="0"/>
        <w:widowControl/>
        <w:suppressLineNumbers w:val="0"/>
        <w:spacing w:line="315" w:lineRule="atLeast"/>
        <w:jc w:val="left"/>
      </w:pPr>
      <w:r>
        <w:rPr>
          <w:rStyle w:val="5"/>
          <w:color w:val="212122"/>
          <w:spacing w:val="15"/>
        </w:rPr>
        <w:t>RS232 接口：</w:t>
      </w:r>
      <w:r>
        <w:rPr>
          <w:spacing w:val="15"/>
        </w:rPr>
        <w:t>是常用的串行通信接口之一， RS232适用于短距离设备互联（如打印机、鼠标等），但需通过电平转换芯片（如 MAX232 ）适配不同逻辑电平</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281"/>
        <w:gridCol w:w="1442"/>
        <w:gridCol w:w="1742"/>
        <w:gridCol w:w="1904"/>
        <w:gridCol w:w="937"/>
      </w:tblGrid>
      <w:tr w14:paraId="37530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5" w:hRule="atLeast"/>
          <w:tblCellSpacing w:w="0" w:type="dxa"/>
        </w:trPr>
        <w:tc>
          <w:tcPr>
            <w:tcW w:w="1737" w:type="dxa"/>
            <w:shd w:val="clear" w:color="auto" w:fill="auto"/>
            <w:vAlign w:val="center"/>
          </w:tcPr>
          <w:p w14:paraId="5851FBD0">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型号</w:t>
            </w:r>
          </w:p>
        </w:tc>
        <w:tc>
          <w:tcPr>
            <w:tcW w:w="1098" w:type="dxa"/>
            <w:shd w:val="clear" w:color="auto" w:fill="auto"/>
            <w:vAlign w:val="center"/>
          </w:tcPr>
          <w:p w14:paraId="02DFEE8A">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1326" w:type="dxa"/>
            <w:shd w:val="clear" w:color="auto" w:fill="auto"/>
            <w:vAlign w:val="center"/>
          </w:tcPr>
          <w:p w14:paraId="5DD40FD1">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1450" w:type="dxa"/>
            <w:shd w:val="clear" w:color="auto" w:fill="auto"/>
            <w:vAlign w:val="center"/>
          </w:tcPr>
          <w:p w14:paraId="31C9BA5B">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713" w:type="dxa"/>
            <w:shd w:val="clear" w:color="auto" w:fill="auto"/>
            <w:vAlign w:val="center"/>
          </w:tcPr>
          <w:p w14:paraId="213B0589">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r>
      <w:tr w14:paraId="1E47B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0" w:type="auto"/>
            <w:shd w:val="clear" w:color="auto" w:fill="auto"/>
            <w:vAlign w:val="center"/>
          </w:tcPr>
          <w:p w14:paraId="3EDBBFA4">
            <w:pPr>
              <w:pStyle w:val="2"/>
              <w:keepNext w:val="0"/>
              <w:keepLines w:val="0"/>
              <w:widowControl/>
              <w:suppressLineNumbers w:val="0"/>
              <w:spacing w:line="210" w:lineRule="atLeast"/>
              <w:jc w:val="center"/>
            </w:pPr>
            <w:r>
              <w:rPr>
                <w:rFonts w:hint="default" w:ascii="Arial" w:hAnsi="Arial" w:cs="Arial"/>
                <w:color w:val="212122"/>
                <w:spacing w:val="0"/>
                <w:sz w:val="18"/>
                <w:szCs w:val="18"/>
              </w:rPr>
              <w:t>P0220SCL</w:t>
            </w:r>
          </w:p>
        </w:tc>
        <w:tc>
          <w:tcPr>
            <w:tcW w:w="0" w:type="auto"/>
            <w:shd w:val="clear" w:color="auto" w:fill="auto"/>
            <w:vAlign w:val="center"/>
          </w:tcPr>
          <w:p w14:paraId="451262F2">
            <w:pPr>
              <w:pStyle w:val="2"/>
              <w:keepNext w:val="0"/>
              <w:keepLines w:val="0"/>
              <w:widowControl/>
              <w:suppressLineNumbers w:val="0"/>
              <w:spacing w:line="210" w:lineRule="atLeast"/>
              <w:jc w:val="center"/>
            </w:pPr>
            <w:r>
              <w:rPr>
                <w:rFonts w:hint="default" w:ascii="Arial" w:hAnsi="Arial" w:cs="Arial"/>
                <w:color w:val="212122"/>
                <w:spacing w:val="0"/>
                <w:sz w:val="18"/>
                <w:szCs w:val="18"/>
              </w:rPr>
              <w:t>TSS</w:t>
            </w:r>
          </w:p>
        </w:tc>
        <w:tc>
          <w:tcPr>
            <w:tcW w:w="0" w:type="auto"/>
            <w:shd w:val="clear" w:color="auto" w:fill="auto"/>
            <w:vAlign w:val="center"/>
          </w:tcPr>
          <w:p w14:paraId="5A9B0B7E">
            <w:pPr>
              <w:pStyle w:val="2"/>
              <w:keepNext w:val="0"/>
              <w:keepLines w:val="0"/>
              <w:widowControl/>
              <w:suppressLineNumbers w:val="0"/>
              <w:spacing w:line="210" w:lineRule="atLeast"/>
              <w:jc w:val="center"/>
            </w:pPr>
            <w:r>
              <w:rPr>
                <w:rFonts w:hint="default" w:ascii="Arial" w:hAnsi="Arial" w:cs="Arial"/>
                <w:color w:val="212122"/>
                <w:spacing w:val="0"/>
                <w:sz w:val="18"/>
                <w:szCs w:val="18"/>
              </w:rPr>
              <w:t>RS232接口</w:t>
            </w:r>
          </w:p>
        </w:tc>
        <w:tc>
          <w:tcPr>
            <w:tcW w:w="0" w:type="auto"/>
            <w:shd w:val="clear" w:color="auto" w:fill="auto"/>
            <w:vAlign w:val="center"/>
          </w:tcPr>
          <w:p w14:paraId="32573D64">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浪涌、静电</w:t>
            </w:r>
          </w:p>
        </w:tc>
        <w:tc>
          <w:tcPr>
            <w:tcW w:w="0" w:type="auto"/>
            <w:shd w:val="clear" w:color="auto" w:fill="auto"/>
            <w:vAlign w:val="center"/>
          </w:tcPr>
          <w:p w14:paraId="2A8EABCA">
            <w:pPr>
              <w:pStyle w:val="2"/>
              <w:keepNext w:val="0"/>
              <w:keepLines w:val="0"/>
              <w:widowControl/>
              <w:suppressLineNumbers w:val="0"/>
              <w:spacing w:line="210" w:lineRule="atLeast"/>
              <w:jc w:val="center"/>
            </w:pPr>
            <w:r>
              <w:rPr>
                <w:rFonts w:hint="default" w:ascii="Arial" w:hAnsi="Arial" w:cs="Arial"/>
                <w:color w:val="212122"/>
                <w:spacing w:val="0"/>
                <w:sz w:val="18"/>
                <w:szCs w:val="18"/>
              </w:rPr>
              <w:t>SMB</w:t>
            </w:r>
          </w:p>
        </w:tc>
      </w:tr>
      <w:tr w14:paraId="14CD2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0" w:type="auto"/>
            <w:shd w:val="clear" w:color="auto" w:fill="auto"/>
            <w:vAlign w:val="center"/>
          </w:tcPr>
          <w:p w14:paraId="699EF843">
            <w:pPr>
              <w:pStyle w:val="2"/>
              <w:keepNext w:val="0"/>
              <w:keepLines w:val="0"/>
              <w:widowControl/>
              <w:suppressLineNumbers w:val="0"/>
              <w:spacing w:line="210" w:lineRule="atLeast"/>
              <w:jc w:val="center"/>
            </w:pPr>
            <w:r>
              <w:rPr>
                <w:rFonts w:hint="default" w:ascii="Arial" w:hAnsi="Arial" w:cs="Arial"/>
                <w:color w:val="212122"/>
                <w:spacing w:val="0"/>
                <w:sz w:val="18"/>
                <w:szCs w:val="18"/>
              </w:rPr>
              <w:t>P3100SCL</w:t>
            </w:r>
          </w:p>
        </w:tc>
        <w:tc>
          <w:tcPr>
            <w:tcW w:w="0" w:type="auto"/>
            <w:shd w:val="clear" w:color="auto" w:fill="auto"/>
            <w:vAlign w:val="center"/>
          </w:tcPr>
          <w:p w14:paraId="30883193">
            <w:pPr>
              <w:pStyle w:val="2"/>
              <w:keepNext w:val="0"/>
              <w:keepLines w:val="0"/>
              <w:widowControl/>
              <w:suppressLineNumbers w:val="0"/>
              <w:spacing w:line="210" w:lineRule="atLeast"/>
              <w:jc w:val="center"/>
            </w:pPr>
            <w:r>
              <w:rPr>
                <w:rFonts w:hint="default" w:ascii="Arial" w:hAnsi="Arial" w:cs="Arial"/>
                <w:color w:val="212122"/>
                <w:spacing w:val="0"/>
                <w:sz w:val="18"/>
                <w:szCs w:val="18"/>
              </w:rPr>
              <w:t>TSS</w:t>
            </w:r>
          </w:p>
        </w:tc>
        <w:tc>
          <w:tcPr>
            <w:tcW w:w="0" w:type="auto"/>
            <w:shd w:val="clear" w:color="auto" w:fill="auto"/>
            <w:vAlign w:val="center"/>
          </w:tcPr>
          <w:p w14:paraId="5C18D68E">
            <w:pPr>
              <w:pStyle w:val="2"/>
              <w:keepNext w:val="0"/>
              <w:keepLines w:val="0"/>
              <w:widowControl/>
              <w:suppressLineNumbers w:val="0"/>
              <w:spacing w:line="210" w:lineRule="atLeast"/>
              <w:jc w:val="center"/>
            </w:pPr>
            <w:r>
              <w:rPr>
                <w:rFonts w:hint="default" w:ascii="Arial" w:hAnsi="Arial" w:cs="Arial"/>
                <w:color w:val="212122"/>
                <w:spacing w:val="0"/>
                <w:sz w:val="18"/>
                <w:szCs w:val="18"/>
              </w:rPr>
              <w:t>RS232接口</w:t>
            </w:r>
          </w:p>
        </w:tc>
        <w:tc>
          <w:tcPr>
            <w:tcW w:w="0" w:type="auto"/>
            <w:shd w:val="clear" w:color="auto" w:fill="auto"/>
            <w:vAlign w:val="center"/>
          </w:tcPr>
          <w:p w14:paraId="5DB2965A">
            <w:pPr>
              <w:pStyle w:val="2"/>
              <w:keepNext w:val="0"/>
              <w:keepLines w:val="0"/>
              <w:widowControl/>
              <w:suppressLineNumbers w:val="0"/>
              <w:spacing w:line="210" w:lineRule="atLeast"/>
              <w:jc w:val="center"/>
            </w:pPr>
            <w:r>
              <w:rPr>
                <w:rFonts w:hint="default" w:ascii="Arial" w:hAnsi="Arial" w:cs="Arial"/>
                <w:color w:val="212122"/>
                <w:spacing w:val="0"/>
                <w:sz w:val="18"/>
                <w:szCs w:val="18"/>
              </w:rPr>
              <w:t>雷击、浪涌、静电</w:t>
            </w:r>
          </w:p>
        </w:tc>
        <w:tc>
          <w:tcPr>
            <w:tcW w:w="0" w:type="auto"/>
            <w:shd w:val="clear" w:color="auto" w:fill="auto"/>
            <w:vAlign w:val="center"/>
          </w:tcPr>
          <w:p w14:paraId="2ABBC8E8">
            <w:pPr>
              <w:pStyle w:val="2"/>
              <w:keepNext w:val="0"/>
              <w:keepLines w:val="0"/>
              <w:widowControl/>
              <w:suppressLineNumbers w:val="0"/>
              <w:spacing w:line="210" w:lineRule="atLeast"/>
              <w:jc w:val="center"/>
            </w:pPr>
            <w:r>
              <w:rPr>
                <w:rFonts w:hint="default" w:ascii="Arial" w:hAnsi="Arial" w:cs="Arial"/>
                <w:color w:val="212122"/>
                <w:spacing w:val="0"/>
                <w:sz w:val="18"/>
                <w:szCs w:val="18"/>
              </w:rPr>
              <w:t>SMB</w:t>
            </w:r>
          </w:p>
        </w:tc>
      </w:tr>
      <w:tr w14:paraId="38160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0" w:type="auto"/>
            <w:shd w:val="clear" w:color="auto" w:fill="auto"/>
            <w:vAlign w:val="center"/>
          </w:tcPr>
          <w:p w14:paraId="615147F9">
            <w:pPr>
              <w:pStyle w:val="2"/>
              <w:keepNext w:val="0"/>
              <w:keepLines w:val="0"/>
              <w:widowControl/>
              <w:suppressLineNumbers w:val="0"/>
              <w:spacing w:line="210" w:lineRule="atLeast"/>
              <w:jc w:val="center"/>
            </w:pPr>
            <w:r>
              <w:rPr>
                <w:rFonts w:hint="default" w:ascii="Arial" w:hAnsi="Arial" w:cs="Arial"/>
                <w:color w:val="212122"/>
                <w:spacing w:val="0"/>
                <w:sz w:val="18"/>
                <w:szCs w:val="18"/>
              </w:rPr>
              <w:t>PBZ1608A02Z0T</w:t>
            </w:r>
          </w:p>
        </w:tc>
        <w:tc>
          <w:tcPr>
            <w:tcW w:w="0" w:type="auto"/>
            <w:shd w:val="clear" w:color="auto" w:fill="auto"/>
            <w:vAlign w:val="center"/>
          </w:tcPr>
          <w:p w14:paraId="2CC50F6C">
            <w:pPr>
              <w:pStyle w:val="2"/>
              <w:keepNext w:val="0"/>
              <w:keepLines w:val="0"/>
              <w:widowControl/>
              <w:suppressLineNumbers w:val="0"/>
              <w:spacing w:line="210" w:lineRule="atLeast"/>
              <w:jc w:val="center"/>
            </w:pPr>
            <w:r>
              <w:rPr>
                <w:rFonts w:hint="default" w:ascii="Arial" w:hAnsi="Arial" w:cs="Arial"/>
                <w:color w:val="212122"/>
                <w:spacing w:val="0"/>
                <w:sz w:val="18"/>
                <w:szCs w:val="18"/>
              </w:rPr>
              <w:t>磁珠</w:t>
            </w:r>
          </w:p>
        </w:tc>
        <w:tc>
          <w:tcPr>
            <w:tcW w:w="0" w:type="auto"/>
            <w:shd w:val="clear" w:color="auto" w:fill="auto"/>
            <w:vAlign w:val="center"/>
          </w:tcPr>
          <w:p w14:paraId="1F039385">
            <w:pPr>
              <w:pStyle w:val="2"/>
              <w:keepNext w:val="0"/>
              <w:keepLines w:val="0"/>
              <w:widowControl/>
              <w:suppressLineNumbers w:val="0"/>
              <w:spacing w:line="210" w:lineRule="atLeast"/>
              <w:jc w:val="center"/>
            </w:pPr>
            <w:r>
              <w:rPr>
                <w:rFonts w:hint="default" w:ascii="Arial" w:hAnsi="Arial" w:cs="Arial"/>
                <w:color w:val="212122"/>
                <w:spacing w:val="0"/>
                <w:sz w:val="18"/>
                <w:szCs w:val="18"/>
              </w:rPr>
              <w:t>RS232接口</w:t>
            </w:r>
          </w:p>
        </w:tc>
        <w:tc>
          <w:tcPr>
            <w:tcW w:w="0" w:type="auto"/>
            <w:shd w:val="clear" w:color="auto" w:fill="auto"/>
            <w:vAlign w:val="center"/>
          </w:tcPr>
          <w:p w14:paraId="1A92CF7A">
            <w:pPr>
              <w:pStyle w:val="2"/>
              <w:keepNext w:val="0"/>
              <w:keepLines w:val="0"/>
              <w:widowControl/>
              <w:suppressLineNumbers w:val="0"/>
              <w:spacing w:line="210" w:lineRule="atLeast"/>
              <w:jc w:val="center"/>
            </w:pPr>
            <w:r>
              <w:rPr>
                <w:rFonts w:hint="default" w:ascii="Arial" w:hAnsi="Arial" w:cs="Arial"/>
                <w:color w:val="212122"/>
                <w:spacing w:val="0"/>
                <w:sz w:val="18"/>
                <w:szCs w:val="18"/>
              </w:rPr>
              <w:t>消除高频干扰</w:t>
            </w:r>
          </w:p>
        </w:tc>
        <w:tc>
          <w:tcPr>
            <w:tcW w:w="0" w:type="auto"/>
            <w:shd w:val="clear" w:color="auto" w:fill="auto"/>
            <w:vAlign w:val="center"/>
          </w:tcPr>
          <w:p w14:paraId="7F31BD7D">
            <w:pPr>
              <w:pStyle w:val="2"/>
              <w:keepNext w:val="0"/>
              <w:keepLines w:val="0"/>
              <w:widowControl/>
              <w:suppressLineNumbers w:val="0"/>
              <w:spacing w:line="210" w:lineRule="atLeast"/>
              <w:jc w:val="center"/>
            </w:pPr>
            <w:r>
              <w:rPr>
                <w:rFonts w:hint="default" w:ascii="Arial" w:hAnsi="Arial" w:cs="Arial"/>
                <w:color w:val="212122"/>
                <w:spacing w:val="0"/>
                <w:sz w:val="18"/>
                <w:szCs w:val="18"/>
              </w:rPr>
              <w:t>1608</w:t>
            </w:r>
          </w:p>
        </w:tc>
      </w:tr>
    </w:tbl>
    <w:p w14:paraId="672C147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12E2578">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5"/>
          <w:rFonts w:hint="default" w:ascii="Arial" w:hAnsi="Arial" w:eastAsia="宋体" w:cs="Arial"/>
          <w:color w:val="212122"/>
          <w:spacing w:val="15"/>
          <w:kern w:val="0"/>
          <w:sz w:val="24"/>
          <w:szCs w:val="24"/>
          <w:shd w:val="clear" w:fill="F0FBFF"/>
          <w:lang w:val="en-US" w:eastAsia="zh-CN" w:bidi="ar"/>
        </w:rPr>
        <w:t>RS-485 接口EMC及热插拔可靠性设计</w:t>
      </w:r>
      <w:r>
        <w:rPr>
          <w:rFonts w:ascii="宋体" w:hAnsi="宋体" w:eastAsia="宋体" w:cs="宋体"/>
          <w:kern w:val="0"/>
          <w:sz w:val="24"/>
          <w:szCs w:val="24"/>
          <w:vertAlign w:val="baseline"/>
          <w:lang w:val="en-US" w:eastAsia="zh-CN" w:bidi="ar"/>
        </w:rPr>
        <w:drawing>
          <wp:inline distT="0" distB="0" distL="114300" distR="114300">
            <wp:extent cx="4229100" cy="3209925"/>
            <wp:effectExtent l="0" t="0" r="0" b="952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5"/>
                    <a:stretch>
                      <a:fillRect/>
                    </a:stretch>
                  </pic:blipFill>
                  <pic:spPr>
                    <a:xfrm>
                      <a:off x="0" y="0"/>
                      <a:ext cx="4229100" cy="3209925"/>
                    </a:xfrm>
                    <a:prstGeom prst="rect">
                      <a:avLst/>
                    </a:prstGeom>
                    <a:noFill/>
                    <a:ln w="9525">
                      <a:noFill/>
                    </a:ln>
                  </pic:spPr>
                </pic:pic>
              </a:graphicData>
            </a:graphic>
          </wp:inline>
        </w:drawing>
      </w:r>
    </w:p>
    <w:p w14:paraId="01DAA1A9">
      <w:pPr>
        <w:pStyle w:val="2"/>
        <w:keepNext w:val="0"/>
        <w:keepLines w:val="0"/>
        <w:widowControl/>
        <w:suppressLineNumbers w:val="0"/>
        <w:jc w:val="center"/>
      </w:pPr>
      <w:r>
        <w:rPr>
          <w:vertAlign w:val="baseline"/>
        </w:rPr>
        <w:drawing>
          <wp:inline distT="0" distB="0" distL="114300" distR="114300">
            <wp:extent cx="2838450" cy="2543175"/>
            <wp:effectExtent l="0" t="0" r="0" b="9525"/>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16"/>
                    <a:stretch>
                      <a:fillRect/>
                    </a:stretch>
                  </pic:blipFill>
                  <pic:spPr>
                    <a:xfrm>
                      <a:off x="0" y="0"/>
                      <a:ext cx="2838450" cy="2543175"/>
                    </a:xfrm>
                    <a:prstGeom prst="rect">
                      <a:avLst/>
                    </a:prstGeom>
                    <a:noFill/>
                    <a:ln w="9525">
                      <a:noFill/>
                    </a:ln>
                  </pic:spPr>
                </pic:pic>
              </a:graphicData>
            </a:graphic>
          </wp:inline>
        </w:drawing>
      </w:r>
    </w:p>
    <w:p w14:paraId="4DAE9856">
      <w:pPr>
        <w:pStyle w:val="2"/>
        <w:keepNext w:val="0"/>
        <w:keepLines w:val="0"/>
        <w:widowControl/>
        <w:suppressLineNumbers w:val="0"/>
        <w:jc w:val="center"/>
      </w:pPr>
      <w:r>
        <w:rPr>
          <w:vertAlign w:val="baseline"/>
        </w:rPr>
        <w:drawing>
          <wp:inline distT="0" distB="0" distL="114300" distR="114300">
            <wp:extent cx="2438400" cy="2038350"/>
            <wp:effectExtent l="0" t="0" r="0" b="0"/>
            <wp:docPr id="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72"/>
                    <pic:cNvPicPr>
                      <a:picLocks noChangeAspect="1"/>
                    </pic:cNvPicPr>
                  </pic:nvPicPr>
                  <pic:blipFill>
                    <a:blip r:embed="rId14"/>
                    <a:stretch>
                      <a:fillRect/>
                    </a:stretch>
                  </pic:blipFill>
                  <pic:spPr>
                    <a:xfrm>
                      <a:off x="0" y="0"/>
                      <a:ext cx="2438400" cy="2038350"/>
                    </a:xfrm>
                    <a:prstGeom prst="rect">
                      <a:avLst/>
                    </a:prstGeom>
                    <a:noFill/>
                    <a:ln w="9525">
                      <a:noFill/>
                    </a:ln>
                  </pic:spPr>
                </pic:pic>
              </a:graphicData>
            </a:graphic>
          </wp:inline>
        </w:drawing>
      </w:r>
    </w:p>
    <w:p w14:paraId="291D1452">
      <w:pPr>
        <w:pStyle w:val="2"/>
        <w:keepNext w:val="0"/>
        <w:keepLines w:val="0"/>
        <w:widowControl/>
        <w:suppressLineNumbers w:val="0"/>
        <w:spacing w:line="315" w:lineRule="atLeast"/>
        <w:jc w:val="left"/>
      </w:pPr>
      <w:r>
        <w:rPr>
          <w:rStyle w:val="5"/>
          <w:color w:val="212122"/>
          <w:spacing w:val="8"/>
        </w:rPr>
        <w:t>RS485 接口：</w:t>
      </w:r>
      <w:r>
        <w:rPr>
          <w:spacing w:val="8"/>
        </w:rPr>
        <w:t>RS-485 是一种串行通信标准，可以支持多个设备通过同一条串行总线进行通信；且适用于中长距离通信，具有较好的抗干扰能力和数据传输稳定性</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663"/>
        <w:gridCol w:w="1291"/>
        <w:gridCol w:w="1707"/>
        <w:gridCol w:w="1929"/>
        <w:gridCol w:w="716"/>
      </w:tblGrid>
      <w:tr w14:paraId="7160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5" w:hRule="atLeast"/>
          <w:tblCellSpacing w:w="0" w:type="dxa"/>
        </w:trPr>
        <w:tc>
          <w:tcPr>
            <w:tcW w:w="0" w:type="auto"/>
            <w:shd w:val="clear" w:color="auto" w:fill="auto"/>
            <w:vAlign w:val="center"/>
          </w:tcPr>
          <w:p w14:paraId="0768D418">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型号</w:t>
            </w:r>
          </w:p>
        </w:tc>
        <w:tc>
          <w:tcPr>
            <w:tcW w:w="0" w:type="auto"/>
            <w:shd w:val="clear" w:color="auto" w:fill="auto"/>
            <w:vAlign w:val="center"/>
          </w:tcPr>
          <w:p w14:paraId="10C6120D">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0" w:type="auto"/>
            <w:shd w:val="clear" w:color="auto" w:fill="auto"/>
            <w:vAlign w:val="center"/>
          </w:tcPr>
          <w:p w14:paraId="3A1AA36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0" w:type="auto"/>
            <w:shd w:val="clear" w:color="auto" w:fill="auto"/>
            <w:vAlign w:val="center"/>
          </w:tcPr>
          <w:p w14:paraId="24EB159F">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0" w:type="auto"/>
            <w:shd w:val="clear" w:color="auto" w:fill="auto"/>
            <w:vAlign w:val="center"/>
          </w:tcPr>
          <w:p w14:paraId="358A99E6">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r>
      <w:tr w14:paraId="2F4EE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blCellSpacing w:w="0" w:type="dxa"/>
        </w:trPr>
        <w:tc>
          <w:tcPr>
            <w:tcW w:w="0" w:type="auto"/>
            <w:shd w:val="clear" w:color="auto" w:fill="auto"/>
            <w:vAlign w:val="center"/>
          </w:tcPr>
          <w:p w14:paraId="513D1A90">
            <w:pPr>
              <w:pStyle w:val="2"/>
              <w:keepNext w:val="0"/>
              <w:keepLines w:val="0"/>
              <w:widowControl/>
              <w:suppressLineNumbers w:val="0"/>
              <w:spacing w:line="210" w:lineRule="atLeast"/>
              <w:jc w:val="center"/>
            </w:pPr>
            <w:r>
              <w:rPr>
                <w:rFonts w:hint="default" w:ascii="Arial" w:hAnsi="Arial" w:cs="Arial"/>
                <w:color w:val="212122"/>
                <w:spacing w:val="0"/>
                <w:sz w:val="18"/>
                <w:szCs w:val="18"/>
              </w:rPr>
              <w:t>P0080SCL</w:t>
            </w:r>
          </w:p>
        </w:tc>
        <w:tc>
          <w:tcPr>
            <w:tcW w:w="0" w:type="auto"/>
            <w:shd w:val="clear" w:color="auto" w:fill="auto"/>
            <w:vAlign w:val="center"/>
          </w:tcPr>
          <w:p w14:paraId="108FA4EC">
            <w:pPr>
              <w:pStyle w:val="2"/>
              <w:keepNext w:val="0"/>
              <w:keepLines w:val="0"/>
              <w:widowControl/>
              <w:suppressLineNumbers w:val="0"/>
              <w:spacing w:line="210" w:lineRule="atLeast"/>
              <w:jc w:val="center"/>
            </w:pPr>
            <w:r>
              <w:rPr>
                <w:rFonts w:hint="default" w:ascii="Arial" w:hAnsi="Arial" w:cs="Arial"/>
                <w:color w:val="212122"/>
                <w:spacing w:val="0"/>
                <w:sz w:val="18"/>
                <w:szCs w:val="18"/>
              </w:rPr>
              <w:t>TSS</w:t>
            </w:r>
          </w:p>
        </w:tc>
        <w:tc>
          <w:tcPr>
            <w:tcW w:w="0" w:type="auto"/>
            <w:shd w:val="clear" w:color="auto" w:fill="auto"/>
            <w:vAlign w:val="center"/>
          </w:tcPr>
          <w:p w14:paraId="3A22ABD9">
            <w:pPr>
              <w:pStyle w:val="2"/>
              <w:keepNext w:val="0"/>
              <w:keepLines w:val="0"/>
              <w:widowControl/>
              <w:suppressLineNumbers w:val="0"/>
              <w:spacing w:line="210" w:lineRule="atLeast"/>
              <w:jc w:val="center"/>
            </w:pPr>
            <w:r>
              <w:rPr>
                <w:rFonts w:hint="default" w:ascii="Arial" w:hAnsi="Arial" w:cs="Arial"/>
                <w:color w:val="212122"/>
                <w:spacing w:val="0"/>
                <w:sz w:val="18"/>
                <w:szCs w:val="18"/>
              </w:rPr>
              <w:t>RS485接口</w:t>
            </w:r>
          </w:p>
        </w:tc>
        <w:tc>
          <w:tcPr>
            <w:tcW w:w="0" w:type="auto"/>
            <w:shd w:val="clear" w:color="auto" w:fill="auto"/>
            <w:vAlign w:val="center"/>
          </w:tcPr>
          <w:p w14:paraId="4580C385">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浪涌、静电</w:t>
            </w:r>
          </w:p>
        </w:tc>
        <w:tc>
          <w:tcPr>
            <w:tcW w:w="0" w:type="auto"/>
            <w:shd w:val="clear" w:color="auto" w:fill="auto"/>
            <w:vAlign w:val="center"/>
          </w:tcPr>
          <w:p w14:paraId="2B244D48">
            <w:pPr>
              <w:pStyle w:val="2"/>
              <w:keepNext w:val="0"/>
              <w:keepLines w:val="0"/>
              <w:widowControl/>
              <w:suppressLineNumbers w:val="0"/>
              <w:spacing w:line="210" w:lineRule="atLeast"/>
              <w:jc w:val="center"/>
            </w:pPr>
            <w:r>
              <w:rPr>
                <w:rFonts w:hint="default" w:ascii="Arial" w:hAnsi="Arial" w:cs="Arial"/>
                <w:color w:val="212122"/>
                <w:spacing w:val="0"/>
                <w:sz w:val="18"/>
                <w:szCs w:val="18"/>
              </w:rPr>
              <w:t>SMB</w:t>
            </w:r>
          </w:p>
        </w:tc>
      </w:tr>
      <w:tr w14:paraId="0DA48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blCellSpacing w:w="0" w:type="dxa"/>
        </w:trPr>
        <w:tc>
          <w:tcPr>
            <w:tcW w:w="0" w:type="auto"/>
            <w:shd w:val="clear" w:color="auto" w:fill="auto"/>
            <w:vAlign w:val="center"/>
          </w:tcPr>
          <w:p w14:paraId="5110D289">
            <w:pPr>
              <w:pStyle w:val="2"/>
              <w:keepNext w:val="0"/>
              <w:keepLines w:val="0"/>
              <w:widowControl/>
              <w:suppressLineNumbers w:val="0"/>
              <w:spacing w:line="210" w:lineRule="atLeast"/>
              <w:jc w:val="center"/>
            </w:pPr>
            <w:r>
              <w:rPr>
                <w:rFonts w:hint="default" w:ascii="Arial" w:hAnsi="Arial" w:cs="Arial"/>
                <w:color w:val="212122"/>
                <w:spacing w:val="0"/>
                <w:sz w:val="18"/>
                <w:szCs w:val="18"/>
              </w:rPr>
              <w:t>PBZ1608A102Z0T</w:t>
            </w:r>
          </w:p>
        </w:tc>
        <w:tc>
          <w:tcPr>
            <w:tcW w:w="0" w:type="auto"/>
            <w:shd w:val="clear" w:color="auto" w:fill="auto"/>
            <w:vAlign w:val="center"/>
          </w:tcPr>
          <w:p w14:paraId="719C5C5D">
            <w:pPr>
              <w:pStyle w:val="2"/>
              <w:keepNext w:val="0"/>
              <w:keepLines w:val="0"/>
              <w:widowControl/>
              <w:suppressLineNumbers w:val="0"/>
              <w:spacing w:line="210" w:lineRule="atLeast"/>
              <w:jc w:val="center"/>
            </w:pPr>
            <w:r>
              <w:rPr>
                <w:rFonts w:hint="default" w:ascii="Arial" w:hAnsi="Arial" w:cs="Arial"/>
                <w:color w:val="212122"/>
                <w:spacing w:val="0"/>
                <w:sz w:val="18"/>
                <w:szCs w:val="18"/>
              </w:rPr>
              <w:t>磁珠</w:t>
            </w:r>
          </w:p>
        </w:tc>
        <w:tc>
          <w:tcPr>
            <w:tcW w:w="0" w:type="auto"/>
            <w:shd w:val="clear" w:color="auto" w:fill="auto"/>
            <w:vAlign w:val="center"/>
          </w:tcPr>
          <w:p w14:paraId="14DCBE92">
            <w:pPr>
              <w:pStyle w:val="2"/>
              <w:keepNext w:val="0"/>
              <w:keepLines w:val="0"/>
              <w:widowControl/>
              <w:suppressLineNumbers w:val="0"/>
              <w:spacing w:line="210" w:lineRule="atLeast"/>
              <w:jc w:val="center"/>
            </w:pPr>
            <w:r>
              <w:rPr>
                <w:rFonts w:hint="default" w:ascii="Arial" w:hAnsi="Arial" w:cs="Arial"/>
                <w:color w:val="212122"/>
                <w:spacing w:val="0"/>
                <w:sz w:val="18"/>
                <w:szCs w:val="18"/>
              </w:rPr>
              <w:t>RS485接口</w:t>
            </w:r>
          </w:p>
        </w:tc>
        <w:tc>
          <w:tcPr>
            <w:tcW w:w="0" w:type="auto"/>
            <w:shd w:val="clear" w:color="auto" w:fill="auto"/>
            <w:vAlign w:val="center"/>
          </w:tcPr>
          <w:p w14:paraId="6F387212">
            <w:pPr>
              <w:pStyle w:val="2"/>
              <w:keepNext w:val="0"/>
              <w:keepLines w:val="0"/>
              <w:widowControl/>
              <w:suppressLineNumbers w:val="0"/>
              <w:spacing w:line="210" w:lineRule="atLeast"/>
              <w:jc w:val="center"/>
            </w:pPr>
            <w:r>
              <w:rPr>
                <w:rFonts w:hint="default" w:ascii="Arial" w:hAnsi="Arial" w:cs="Arial"/>
                <w:color w:val="212122"/>
                <w:spacing w:val="0"/>
                <w:sz w:val="18"/>
                <w:szCs w:val="18"/>
              </w:rPr>
              <w:t>消除高频干扰</w:t>
            </w:r>
          </w:p>
        </w:tc>
        <w:tc>
          <w:tcPr>
            <w:tcW w:w="0" w:type="auto"/>
            <w:shd w:val="clear" w:color="auto" w:fill="auto"/>
            <w:vAlign w:val="center"/>
          </w:tcPr>
          <w:p w14:paraId="4073E762">
            <w:pPr>
              <w:pStyle w:val="2"/>
              <w:keepNext w:val="0"/>
              <w:keepLines w:val="0"/>
              <w:widowControl/>
              <w:suppressLineNumbers w:val="0"/>
              <w:spacing w:line="210" w:lineRule="atLeast"/>
              <w:jc w:val="center"/>
            </w:pPr>
            <w:r>
              <w:rPr>
                <w:rFonts w:hint="default" w:ascii="Arial" w:hAnsi="Arial" w:cs="Arial"/>
                <w:color w:val="212122"/>
                <w:spacing w:val="0"/>
                <w:sz w:val="18"/>
                <w:szCs w:val="18"/>
              </w:rPr>
              <w:t>1608</w:t>
            </w:r>
          </w:p>
        </w:tc>
      </w:tr>
    </w:tbl>
    <w:p w14:paraId="32AC0A0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9971D5F">
      <w:pPr>
        <w:keepNext w:val="0"/>
        <w:keepLines w:val="0"/>
        <w:widowControl/>
        <w:suppressLineNumbers w:val="0"/>
        <w:jc w:val="left"/>
      </w:pPr>
    </w:p>
    <w:p w14:paraId="73B097A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r>
        <w:rPr>
          <w:rStyle w:val="5"/>
          <w:rFonts w:hint="default" w:ascii="Arial" w:hAnsi="Arial" w:cs="Arial"/>
          <w:color w:val="212122"/>
          <w:spacing w:val="15"/>
          <w:sz w:val="24"/>
          <w:szCs w:val="24"/>
          <w:shd w:val="clear" w:fill="F0FBFF"/>
        </w:rPr>
        <w:t>以太网接口EMC及热插拔可靠性设计</w:t>
      </w:r>
    </w:p>
    <w:p w14:paraId="06607DAF">
      <w:pPr>
        <w:pStyle w:val="2"/>
        <w:keepNext w:val="0"/>
        <w:keepLines w:val="0"/>
        <w:widowControl/>
        <w:suppressLineNumbers w:val="0"/>
        <w:jc w:val="center"/>
      </w:pPr>
      <w:r>
        <w:rPr>
          <w:vertAlign w:val="baseline"/>
        </w:rPr>
        <w:drawing>
          <wp:inline distT="0" distB="0" distL="114300" distR="114300">
            <wp:extent cx="4448175" cy="2447925"/>
            <wp:effectExtent l="0" t="0" r="9525"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17"/>
                    <a:stretch>
                      <a:fillRect/>
                    </a:stretch>
                  </pic:blipFill>
                  <pic:spPr>
                    <a:xfrm>
                      <a:off x="0" y="0"/>
                      <a:ext cx="4448175" cy="2447925"/>
                    </a:xfrm>
                    <a:prstGeom prst="rect">
                      <a:avLst/>
                    </a:prstGeom>
                    <a:noFill/>
                    <a:ln w="9525">
                      <a:noFill/>
                    </a:ln>
                  </pic:spPr>
                </pic:pic>
              </a:graphicData>
            </a:graphic>
          </wp:inline>
        </w:drawing>
      </w:r>
    </w:p>
    <w:p w14:paraId="47690E9C">
      <w:pPr>
        <w:pStyle w:val="2"/>
        <w:keepNext w:val="0"/>
        <w:keepLines w:val="0"/>
        <w:widowControl/>
        <w:suppressLineNumbers w:val="0"/>
        <w:spacing w:line="420" w:lineRule="atLeast"/>
        <w:jc w:val="left"/>
      </w:pPr>
      <w:r>
        <w:rPr>
          <w:rStyle w:val="5"/>
          <w:rFonts w:hint="default" w:ascii="Arial" w:hAnsi="Arial" w:cs="Arial"/>
          <w:color w:val="212122"/>
          <w:spacing w:val="15"/>
        </w:rPr>
        <w:t>以太网接口：</w:t>
      </w:r>
      <w:r>
        <w:rPr>
          <w:rFonts w:hint="default" w:ascii="Arial" w:hAnsi="Arial" w:cs="Arial"/>
          <w:spacing w:val="15"/>
        </w:rPr>
        <w:t>支持有线网络连接；以太网接口为机器提供稳定的网络连接，支持远程控制和数据交互。通过以太网，机器可实时上传工作数据至云端，接受远程指令，实现智能化远程操作；其传输速率可达1000Mbps甚至更高，满足机器在自动化、智能化等领域对高速、稳定数据传输的需求</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353"/>
        <w:gridCol w:w="1339"/>
        <w:gridCol w:w="1667"/>
        <w:gridCol w:w="1667"/>
        <w:gridCol w:w="1280"/>
      </w:tblGrid>
      <w:tr w14:paraId="777D2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blCellSpacing w:w="0" w:type="dxa"/>
        </w:trPr>
        <w:tc>
          <w:tcPr>
            <w:tcW w:w="0" w:type="auto"/>
            <w:shd w:val="clear" w:color="auto" w:fill="auto"/>
            <w:vAlign w:val="center"/>
          </w:tcPr>
          <w:p w14:paraId="7BE69CAC">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型号</w:t>
            </w:r>
          </w:p>
        </w:tc>
        <w:tc>
          <w:tcPr>
            <w:tcW w:w="0" w:type="auto"/>
            <w:shd w:val="clear" w:color="auto" w:fill="auto"/>
            <w:vAlign w:val="center"/>
          </w:tcPr>
          <w:p w14:paraId="2BB5E932">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0" w:type="auto"/>
            <w:shd w:val="clear" w:color="auto" w:fill="auto"/>
            <w:vAlign w:val="center"/>
          </w:tcPr>
          <w:p w14:paraId="33D105AD">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0" w:type="auto"/>
            <w:shd w:val="clear" w:color="auto" w:fill="auto"/>
            <w:vAlign w:val="center"/>
          </w:tcPr>
          <w:p w14:paraId="2E4C55AD">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0" w:type="auto"/>
            <w:shd w:val="clear" w:color="auto" w:fill="auto"/>
            <w:vAlign w:val="center"/>
          </w:tcPr>
          <w:p w14:paraId="7928EDD8">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r>
      <w:tr w14:paraId="38BF0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5" w:hRule="atLeast"/>
          <w:tblCellSpacing w:w="0" w:type="dxa"/>
        </w:trPr>
        <w:tc>
          <w:tcPr>
            <w:tcW w:w="0" w:type="auto"/>
            <w:shd w:val="clear" w:color="auto" w:fill="auto"/>
            <w:vAlign w:val="center"/>
          </w:tcPr>
          <w:p w14:paraId="539131FD">
            <w:pPr>
              <w:pStyle w:val="2"/>
              <w:keepNext w:val="0"/>
              <w:keepLines w:val="0"/>
              <w:widowControl/>
              <w:suppressLineNumbers w:val="0"/>
              <w:spacing w:line="210" w:lineRule="atLeast"/>
              <w:jc w:val="center"/>
            </w:pPr>
            <w:r>
              <w:rPr>
                <w:rFonts w:hint="default" w:ascii="Arial" w:hAnsi="Arial" w:cs="Arial"/>
                <w:color w:val="212122"/>
                <w:spacing w:val="0"/>
                <w:sz w:val="18"/>
                <w:szCs w:val="18"/>
              </w:rPr>
              <w:t>3R090L</w:t>
            </w:r>
          </w:p>
        </w:tc>
        <w:tc>
          <w:tcPr>
            <w:tcW w:w="0" w:type="auto"/>
            <w:shd w:val="clear" w:color="auto" w:fill="auto"/>
            <w:vAlign w:val="center"/>
          </w:tcPr>
          <w:p w14:paraId="632F0E0D">
            <w:pPr>
              <w:pStyle w:val="2"/>
              <w:keepNext w:val="0"/>
              <w:keepLines w:val="0"/>
              <w:widowControl/>
              <w:suppressLineNumbers w:val="0"/>
              <w:spacing w:line="210" w:lineRule="atLeast"/>
              <w:jc w:val="center"/>
            </w:pPr>
            <w:r>
              <w:rPr>
                <w:rFonts w:hint="default" w:ascii="Arial" w:hAnsi="Arial" w:cs="Arial"/>
                <w:color w:val="212122"/>
                <w:spacing w:val="0"/>
                <w:sz w:val="18"/>
                <w:szCs w:val="18"/>
              </w:rPr>
              <w:t>GDT</w:t>
            </w:r>
          </w:p>
        </w:tc>
        <w:tc>
          <w:tcPr>
            <w:tcW w:w="0" w:type="auto"/>
            <w:shd w:val="clear" w:color="auto" w:fill="auto"/>
            <w:vAlign w:val="center"/>
          </w:tcPr>
          <w:p w14:paraId="3C6AC407">
            <w:pPr>
              <w:pStyle w:val="2"/>
              <w:keepNext w:val="0"/>
              <w:keepLines w:val="0"/>
              <w:widowControl/>
              <w:suppressLineNumbers w:val="0"/>
              <w:spacing w:line="210" w:lineRule="atLeast"/>
              <w:jc w:val="center"/>
            </w:pPr>
            <w:r>
              <w:rPr>
                <w:rFonts w:hint="default" w:ascii="Arial" w:hAnsi="Arial" w:cs="Arial"/>
                <w:color w:val="212122"/>
                <w:spacing w:val="0"/>
                <w:sz w:val="18"/>
                <w:szCs w:val="18"/>
              </w:rPr>
              <w:t>以太网接口</w:t>
            </w:r>
          </w:p>
        </w:tc>
        <w:tc>
          <w:tcPr>
            <w:tcW w:w="0" w:type="auto"/>
            <w:shd w:val="clear" w:color="auto" w:fill="auto"/>
            <w:vAlign w:val="center"/>
          </w:tcPr>
          <w:p w14:paraId="49194E7C">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w:t>
            </w:r>
          </w:p>
        </w:tc>
        <w:tc>
          <w:tcPr>
            <w:tcW w:w="0" w:type="auto"/>
            <w:shd w:val="clear" w:color="auto" w:fill="auto"/>
            <w:vAlign w:val="center"/>
          </w:tcPr>
          <w:p w14:paraId="398135F6">
            <w:pPr>
              <w:pStyle w:val="2"/>
              <w:keepNext w:val="0"/>
              <w:keepLines w:val="0"/>
              <w:widowControl/>
              <w:suppressLineNumbers w:val="0"/>
              <w:spacing w:line="210" w:lineRule="atLeast"/>
              <w:jc w:val="center"/>
            </w:pPr>
            <w:r>
              <w:rPr>
                <w:rFonts w:hint="default" w:ascii="Arial" w:hAnsi="Arial" w:cs="Arial"/>
                <w:color w:val="212122"/>
                <w:spacing w:val="0"/>
                <w:sz w:val="18"/>
                <w:szCs w:val="18"/>
              </w:rPr>
              <w:t>3RXXXL</w:t>
            </w:r>
          </w:p>
        </w:tc>
      </w:tr>
      <w:tr w14:paraId="48A53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5" w:hRule="atLeast"/>
          <w:tblCellSpacing w:w="0" w:type="dxa"/>
        </w:trPr>
        <w:tc>
          <w:tcPr>
            <w:tcW w:w="0" w:type="auto"/>
            <w:shd w:val="clear" w:color="auto" w:fill="auto"/>
            <w:vAlign w:val="center"/>
          </w:tcPr>
          <w:p w14:paraId="01BB9E80">
            <w:pPr>
              <w:pStyle w:val="2"/>
              <w:keepNext w:val="0"/>
              <w:keepLines w:val="0"/>
              <w:widowControl/>
              <w:suppressLineNumbers w:val="0"/>
              <w:spacing w:line="210" w:lineRule="atLeast"/>
              <w:jc w:val="center"/>
            </w:pPr>
            <w:r>
              <w:rPr>
                <w:rFonts w:hint="default" w:ascii="Arial" w:hAnsi="Arial" w:cs="Arial"/>
                <w:color w:val="212122"/>
                <w:spacing w:val="0"/>
                <w:sz w:val="18"/>
                <w:szCs w:val="18"/>
              </w:rPr>
              <w:t>ESDLC3V3D3B</w:t>
            </w:r>
          </w:p>
        </w:tc>
        <w:tc>
          <w:tcPr>
            <w:tcW w:w="0" w:type="auto"/>
            <w:shd w:val="clear" w:color="auto" w:fill="auto"/>
            <w:vAlign w:val="center"/>
          </w:tcPr>
          <w:p w14:paraId="474E6DAC">
            <w:pPr>
              <w:pStyle w:val="2"/>
              <w:keepNext w:val="0"/>
              <w:keepLines w:val="0"/>
              <w:widowControl/>
              <w:suppressLineNumbers w:val="0"/>
              <w:spacing w:line="210" w:lineRule="atLeast"/>
              <w:jc w:val="center"/>
            </w:pPr>
            <w:r>
              <w:rPr>
                <w:rFonts w:hint="default" w:ascii="Arial" w:hAnsi="Arial" w:cs="Arial"/>
                <w:color w:val="212122"/>
                <w:spacing w:val="0"/>
                <w:sz w:val="18"/>
                <w:szCs w:val="18"/>
              </w:rPr>
              <w:t>ESD</w:t>
            </w:r>
          </w:p>
        </w:tc>
        <w:tc>
          <w:tcPr>
            <w:tcW w:w="0" w:type="auto"/>
            <w:shd w:val="clear" w:color="auto" w:fill="auto"/>
            <w:vAlign w:val="center"/>
          </w:tcPr>
          <w:p w14:paraId="24F951E8">
            <w:pPr>
              <w:pStyle w:val="2"/>
              <w:keepNext w:val="0"/>
              <w:keepLines w:val="0"/>
              <w:widowControl/>
              <w:suppressLineNumbers w:val="0"/>
              <w:spacing w:line="210" w:lineRule="atLeast"/>
              <w:jc w:val="center"/>
            </w:pPr>
            <w:r>
              <w:rPr>
                <w:rFonts w:hint="default" w:ascii="Arial" w:hAnsi="Arial" w:cs="Arial"/>
                <w:color w:val="212122"/>
                <w:spacing w:val="0"/>
                <w:sz w:val="18"/>
                <w:szCs w:val="18"/>
              </w:rPr>
              <w:t>以太网接口</w:t>
            </w:r>
          </w:p>
        </w:tc>
        <w:tc>
          <w:tcPr>
            <w:tcW w:w="0" w:type="auto"/>
            <w:shd w:val="clear" w:color="auto" w:fill="auto"/>
            <w:vAlign w:val="center"/>
          </w:tcPr>
          <w:p w14:paraId="7602AAEC">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浪涌、静电</w:t>
            </w:r>
          </w:p>
        </w:tc>
        <w:tc>
          <w:tcPr>
            <w:tcW w:w="0" w:type="auto"/>
            <w:shd w:val="clear" w:color="auto" w:fill="auto"/>
            <w:vAlign w:val="center"/>
          </w:tcPr>
          <w:p w14:paraId="2C7E779B">
            <w:pPr>
              <w:pStyle w:val="2"/>
              <w:keepNext w:val="0"/>
              <w:keepLines w:val="0"/>
              <w:widowControl/>
              <w:suppressLineNumbers w:val="0"/>
              <w:spacing w:line="210" w:lineRule="atLeast"/>
              <w:jc w:val="center"/>
            </w:pPr>
            <w:r>
              <w:rPr>
                <w:rFonts w:hint="default" w:ascii="Arial" w:hAnsi="Arial" w:cs="Arial"/>
                <w:color w:val="212122"/>
                <w:spacing w:val="0"/>
                <w:sz w:val="18"/>
                <w:szCs w:val="18"/>
              </w:rPr>
              <w:t>SOD323</w:t>
            </w:r>
          </w:p>
        </w:tc>
      </w:tr>
    </w:tbl>
    <w:p w14:paraId="3C8246BF">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5"/>
          <w:rFonts w:hint="default" w:ascii="Arial" w:hAnsi="Arial" w:eastAsia="宋体" w:cs="Arial"/>
          <w:color w:val="212122"/>
          <w:spacing w:val="15"/>
          <w:kern w:val="0"/>
          <w:sz w:val="24"/>
          <w:szCs w:val="24"/>
          <w:lang w:val="en-US" w:eastAsia="zh-CN" w:bidi="ar"/>
        </w:rPr>
        <w:t>HDMI接口EMC及热插拔可靠性设计</w:t>
      </w:r>
      <w:r>
        <w:rPr>
          <w:rFonts w:ascii="宋体" w:hAnsi="宋体" w:eastAsia="宋体" w:cs="宋体"/>
          <w:kern w:val="0"/>
          <w:sz w:val="24"/>
          <w:szCs w:val="24"/>
          <w:vertAlign w:val="baseline"/>
          <w:lang w:val="en-US" w:eastAsia="zh-CN" w:bidi="ar"/>
        </w:rPr>
        <w:drawing>
          <wp:inline distT="0" distB="0" distL="114300" distR="114300">
            <wp:extent cx="5271135" cy="3097530"/>
            <wp:effectExtent l="0" t="0" r="5715" b="7620"/>
            <wp:docPr id="1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74"/>
                    <pic:cNvPicPr>
                      <a:picLocks noChangeAspect="1"/>
                    </pic:cNvPicPr>
                  </pic:nvPicPr>
                  <pic:blipFill>
                    <a:blip r:embed="rId18"/>
                    <a:stretch>
                      <a:fillRect/>
                    </a:stretch>
                  </pic:blipFill>
                  <pic:spPr>
                    <a:xfrm>
                      <a:off x="0" y="0"/>
                      <a:ext cx="5271135" cy="3097530"/>
                    </a:xfrm>
                    <a:prstGeom prst="rect">
                      <a:avLst/>
                    </a:prstGeom>
                    <a:noFill/>
                    <a:ln w="9525">
                      <a:noFill/>
                    </a:ln>
                  </pic:spPr>
                </pic:pic>
              </a:graphicData>
            </a:graphic>
          </wp:inline>
        </w:drawing>
      </w:r>
    </w:p>
    <w:p w14:paraId="2D61782C">
      <w:pPr>
        <w:pStyle w:val="2"/>
        <w:keepNext w:val="0"/>
        <w:keepLines w:val="0"/>
        <w:widowControl/>
        <w:suppressLineNumbers w:val="0"/>
        <w:jc w:val="center"/>
      </w:pPr>
      <w:r>
        <w:rPr>
          <w:vertAlign w:val="baseline"/>
        </w:rPr>
        <w:drawing>
          <wp:inline distT="0" distB="0" distL="114300" distR="114300">
            <wp:extent cx="2971800" cy="1828800"/>
            <wp:effectExtent l="0" t="0" r="0" b="0"/>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19"/>
                    <a:stretch>
                      <a:fillRect/>
                    </a:stretch>
                  </pic:blipFill>
                  <pic:spPr>
                    <a:xfrm>
                      <a:off x="0" y="0"/>
                      <a:ext cx="2971800" cy="1828800"/>
                    </a:xfrm>
                    <a:prstGeom prst="rect">
                      <a:avLst/>
                    </a:prstGeom>
                    <a:noFill/>
                    <a:ln w="9525">
                      <a:noFill/>
                    </a:ln>
                  </pic:spPr>
                </pic:pic>
              </a:graphicData>
            </a:graphic>
          </wp:inline>
        </w:drawing>
      </w:r>
    </w:p>
    <w:p w14:paraId="06D2FAE0">
      <w:pPr>
        <w:pStyle w:val="2"/>
        <w:keepNext w:val="0"/>
        <w:keepLines w:val="0"/>
        <w:widowControl/>
        <w:suppressLineNumbers w:val="0"/>
        <w:jc w:val="center"/>
      </w:pPr>
      <w:r>
        <w:rPr>
          <w:vertAlign w:val="baseline"/>
        </w:rPr>
        <w:drawing>
          <wp:inline distT="0" distB="0" distL="114300" distR="114300">
            <wp:extent cx="2438400" cy="2038350"/>
            <wp:effectExtent l="0" t="0" r="0" b="0"/>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14"/>
                    <a:stretch>
                      <a:fillRect/>
                    </a:stretch>
                  </pic:blipFill>
                  <pic:spPr>
                    <a:xfrm>
                      <a:off x="0" y="0"/>
                      <a:ext cx="2438400" cy="2038350"/>
                    </a:xfrm>
                    <a:prstGeom prst="rect">
                      <a:avLst/>
                    </a:prstGeom>
                    <a:noFill/>
                    <a:ln w="9525">
                      <a:noFill/>
                    </a:ln>
                  </pic:spPr>
                </pic:pic>
              </a:graphicData>
            </a:graphic>
          </wp:inline>
        </w:drawing>
      </w:r>
    </w:p>
    <w:p w14:paraId="2812B160">
      <w:pPr>
        <w:pStyle w:val="2"/>
        <w:keepNext w:val="0"/>
        <w:keepLines w:val="0"/>
        <w:widowControl/>
        <w:suppressLineNumbers w:val="0"/>
        <w:spacing w:line="315" w:lineRule="atLeast"/>
        <w:jc w:val="left"/>
      </w:pPr>
      <w:r>
        <w:rPr>
          <w:rStyle w:val="5"/>
          <w:rFonts w:hint="default" w:ascii="Arial" w:hAnsi="Arial" w:cs="Arial"/>
          <w:spacing w:val="15"/>
        </w:rPr>
        <w:t xml:space="preserve">HDMI 接口: </w:t>
      </w:r>
      <w:r>
        <w:rPr>
          <w:rFonts w:hint="default" w:ascii="Arial" w:hAnsi="Arial" w:cs="Arial"/>
          <w:spacing w:val="15"/>
        </w:rPr>
        <w:t>用于连接显示器输出视频信号（部分开发板支持）</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91"/>
        <w:gridCol w:w="1489"/>
        <w:gridCol w:w="1408"/>
        <w:gridCol w:w="1120"/>
        <w:gridCol w:w="1205"/>
        <w:gridCol w:w="1793"/>
      </w:tblGrid>
      <w:tr w14:paraId="26E08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5" w:hRule="atLeast"/>
          <w:tblCellSpacing w:w="0" w:type="dxa"/>
        </w:trPr>
        <w:tc>
          <w:tcPr>
            <w:tcW w:w="1037" w:type="dxa"/>
            <w:shd w:val="clear" w:color="auto" w:fill="auto"/>
            <w:vAlign w:val="center"/>
          </w:tcPr>
          <w:p w14:paraId="54F08921">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型号</w:t>
            </w:r>
          </w:p>
        </w:tc>
        <w:tc>
          <w:tcPr>
            <w:tcW w:w="1196" w:type="dxa"/>
            <w:shd w:val="clear" w:color="auto" w:fill="auto"/>
            <w:vAlign w:val="center"/>
          </w:tcPr>
          <w:p w14:paraId="27A335E4">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1131" w:type="dxa"/>
            <w:shd w:val="clear" w:color="auto" w:fill="auto"/>
            <w:vAlign w:val="center"/>
          </w:tcPr>
          <w:p w14:paraId="450CB7EA">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864" w:type="dxa"/>
            <w:shd w:val="clear" w:color="auto" w:fill="auto"/>
            <w:vAlign w:val="center"/>
          </w:tcPr>
          <w:p w14:paraId="73277173">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968" w:type="dxa"/>
            <w:shd w:val="clear" w:color="auto" w:fill="auto"/>
            <w:vAlign w:val="center"/>
          </w:tcPr>
          <w:p w14:paraId="7A3FC62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c>
          <w:tcPr>
            <w:tcW w:w="1124" w:type="dxa"/>
            <w:shd w:val="clear" w:color="auto" w:fill="auto"/>
            <w:vAlign w:val="center"/>
          </w:tcPr>
          <w:p w14:paraId="03854810">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特点</w:t>
            </w:r>
          </w:p>
        </w:tc>
      </w:tr>
      <w:tr w14:paraId="3877B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0" w:type="auto"/>
            <w:shd w:val="clear" w:color="auto" w:fill="auto"/>
            <w:vAlign w:val="center"/>
          </w:tcPr>
          <w:p w14:paraId="5C1AC4AA">
            <w:pPr>
              <w:pStyle w:val="2"/>
              <w:keepNext w:val="0"/>
              <w:keepLines w:val="0"/>
              <w:widowControl/>
              <w:suppressLineNumbers w:val="0"/>
              <w:spacing w:line="210" w:lineRule="atLeast"/>
              <w:jc w:val="center"/>
            </w:pPr>
            <w:r>
              <w:rPr>
                <w:rFonts w:hint="default" w:ascii="Arial" w:hAnsi="Arial" w:cs="Arial"/>
                <w:color w:val="212122"/>
                <w:spacing w:val="0"/>
                <w:sz w:val="18"/>
                <w:szCs w:val="18"/>
              </w:rPr>
              <w:t>ESD0524P</w:t>
            </w:r>
          </w:p>
        </w:tc>
        <w:tc>
          <w:tcPr>
            <w:tcW w:w="0" w:type="auto"/>
            <w:shd w:val="clear" w:color="auto" w:fill="auto"/>
            <w:vAlign w:val="center"/>
          </w:tcPr>
          <w:p w14:paraId="617A6F41">
            <w:pPr>
              <w:pStyle w:val="2"/>
              <w:keepNext w:val="0"/>
              <w:keepLines w:val="0"/>
              <w:widowControl/>
              <w:suppressLineNumbers w:val="0"/>
              <w:spacing w:line="210" w:lineRule="atLeast"/>
              <w:jc w:val="center"/>
            </w:pPr>
            <w:r>
              <w:rPr>
                <w:rFonts w:hint="default" w:ascii="Arial" w:hAnsi="Arial" w:cs="Arial"/>
                <w:color w:val="212122"/>
                <w:spacing w:val="0"/>
                <w:sz w:val="18"/>
                <w:szCs w:val="18"/>
              </w:rPr>
              <w:t>ESD</w:t>
            </w:r>
          </w:p>
        </w:tc>
        <w:tc>
          <w:tcPr>
            <w:tcW w:w="0" w:type="auto"/>
            <w:shd w:val="clear" w:color="auto" w:fill="auto"/>
            <w:vAlign w:val="center"/>
          </w:tcPr>
          <w:p w14:paraId="514E2530">
            <w:pPr>
              <w:pStyle w:val="2"/>
              <w:keepNext w:val="0"/>
              <w:keepLines w:val="0"/>
              <w:widowControl/>
              <w:suppressLineNumbers w:val="0"/>
              <w:spacing w:line="210" w:lineRule="atLeast"/>
              <w:jc w:val="center"/>
            </w:pPr>
            <w:r>
              <w:rPr>
                <w:rFonts w:hint="default" w:ascii="Arial" w:hAnsi="Arial" w:cs="Arial"/>
                <w:color w:val="212122"/>
                <w:spacing w:val="0"/>
                <w:sz w:val="18"/>
                <w:szCs w:val="18"/>
              </w:rPr>
              <w:t>HDMI接口</w:t>
            </w:r>
          </w:p>
        </w:tc>
        <w:tc>
          <w:tcPr>
            <w:tcW w:w="0" w:type="auto"/>
            <w:shd w:val="clear" w:color="auto" w:fill="auto"/>
            <w:vAlign w:val="center"/>
          </w:tcPr>
          <w:p w14:paraId="00968142">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浪涌、静电</w:t>
            </w:r>
          </w:p>
        </w:tc>
        <w:tc>
          <w:tcPr>
            <w:tcW w:w="0" w:type="auto"/>
            <w:shd w:val="clear" w:color="auto" w:fill="auto"/>
            <w:vAlign w:val="center"/>
          </w:tcPr>
          <w:p w14:paraId="359D54CE">
            <w:pPr>
              <w:pStyle w:val="2"/>
              <w:keepNext w:val="0"/>
              <w:keepLines w:val="0"/>
              <w:widowControl/>
              <w:suppressLineNumbers w:val="0"/>
              <w:spacing w:line="210" w:lineRule="atLeast"/>
              <w:jc w:val="center"/>
            </w:pPr>
            <w:r>
              <w:rPr>
                <w:rFonts w:hint="default" w:ascii="Arial" w:hAnsi="Arial" w:cs="Arial"/>
                <w:color w:val="212122"/>
                <w:spacing w:val="0"/>
                <w:sz w:val="18"/>
                <w:szCs w:val="18"/>
              </w:rPr>
              <w:t>DFN2510</w:t>
            </w:r>
          </w:p>
        </w:tc>
        <w:tc>
          <w:tcPr>
            <w:tcW w:w="0" w:type="auto"/>
            <w:shd w:val="clear" w:color="auto" w:fill="auto"/>
            <w:vAlign w:val="center"/>
          </w:tcPr>
          <w:p w14:paraId="2DECC691">
            <w:pPr>
              <w:pStyle w:val="2"/>
              <w:keepNext w:val="0"/>
              <w:keepLines w:val="0"/>
              <w:widowControl/>
              <w:suppressLineNumbers w:val="0"/>
              <w:spacing w:line="210" w:lineRule="atLeast"/>
              <w:jc w:val="center"/>
            </w:pPr>
            <w:r>
              <w:rPr>
                <w:rFonts w:hint="default" w:ascii="Arial" w:hAnsi="Arial" w:cs="Arial"/>
                <w:color w:val="212122"/>
                <w:spacing w:val="0"/>
                <w:sz w:val="18"/>
                <w:szCs w:val="18"/>
              </w:rPr>
              <w:t>用量大，价值比高</w:t>
            </w:r>
          </w:p>
        </w:tc>
      </w:tr>
    </w:tbl>
    <w:p w14:paraId="3775E81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F03708F">
      <w:pPr>
        <w:keepNext w:val="0"/>
        <w:keepLines w:val="0"/>
        <w:widowControl/>
        <w:suppressLineNumbers w:val="0"/>
        <w:jc w:val="left"/>
      </w:pPr>
    </w:p>
    <w:p w14:paraId="7A8DC706">
      <w:pPr>
        <w:pStyle w:val="2"/>
        <w:keepNext w:val="0"/>
        <w:keepLines w:val="0"/>
        <w:widowControl/>
        <w:suppressLineNumbers w:val="0"/>
      </w:pPr>
      <w:r>
        <w:rPr>
          <w:rStyle w:val="5"/>
          <w:rFonts w:hint="default" w:ascii="Arial" w:hAnsi="Arial" w:cs="Arial"/>
          <w:color w:val="212122"/>
          <w:spacing w:val="15"/>
          <w:sz w:val="24"/>
          <w:szCs w:val="24"/>
          <w:shd w:val="clear" w:fill="F0FBFF"/>
        </w:rPr>
        <w:t>CAN接口EMC及热插拔可靠性设计</w:t>
      </w:r>
    </w:p>
    <w:p w14:paraId="19EB62FF">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9865" cy="2943225"/>
            <wp:effectExtent l="0" t="0" r="6985" b="9525"/>
            <wp:docPr id="1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IMG_277"/>
                    <pic:cNvPicPr>
                      <a:picLocks noChangeAspect="1"/>
                    </pic:cNvPicPr>
                  </pic:nvPicPr>
                  <pic:blipFill>
                    <a:blip r:embed="rId20"/>
                    <a:stretch>
                      <a:fillRect/>
                    </a:stretch>
                  </pic:blipFill>
                  <pic:spPr>
                    <a:xfrm>
                      <a:off x="0" y="0"/>
                      <a:ext cx="5269865" cy="2943225"/>
                    </a:xfrm>
                    <a:prstGeom prst="rect">
                      <a:avLst/>
                    </a:prstGeom>
                    <a:noFill/>
                    <a:ln w="9525">
                      <a:noFill/>
                    </a:ln>
                  </pic:spPr>
                </pic:pic>
              </a:graphicData>
            </a:graphic>
          </wp:inline>
        </w:drawing>
      </w:r>
    </w:p>
    <w:p w14:paraId="751DE389">
      <w:pPr>
        <w:pStyle w:val="2"/>
        <w:keepNext w:val="0"/>
        <w:keepLines w:val="0"/>
        <w:widowControl/>
        <w:suppressLineNumbers w:val="0"/>
        <w:jc w:val="center"/>
      </w:pPr>
      <w:r>
        <w:rPr>
          <w:vertAlign w:val="baseline"/>
        </w:rPr>
        <w:drawing>
          <wp:inline distT="0" distB="0" distL="114300" distR="114300">
            <wp:extent cx="2438400" cy="2038350"/>
            <wp:effectExtent l="0" t="0" r="0" b="0"/>
            <wp:docPr id="2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8"/>
                    <pic:cNvPicPr>
                      <a:picLocks noChangeAspect="1"/>
                    </pic:cNvPicPr>
                  </pic:nvPicPr>
                  <pic:blipFill>
                    <a:blip r:embed="rId14"/>
                    <a:stretch>
                      <a:fillRect/>
                    </a:stretch>
                  </pic:blipFill>
                  <pic:spPr>
                    <a:xfrm>
                      <a:off x="0" y="0"/>
                      <a:ext cx="2438400" cy="2038350"/>
                    </a:xfrm>
                    <a:prstGeom prst="rect">
                      <a:avLst/>
                    </a:prstGeom>
                    <a:noFill/>
                    <a:ln w="9525">
                      <a:noFill/>
                    </a:ln>
                  </pic:spPr>
                </pic:pic>
              </a:graphicData>
            </a:graphic>
          </wp:inline>
        </w:drawing>
      </w:r>
    </w:p>
    <w:p w14:paraId="47127AD5">
      <w:pPr>
        <w:pStyle w:val="2"/>
        <w:keepNext w:val="0"/>
        <w:keepLines w:val="0"/>
        <w:widowControl/>
        <w:suppressLineNumbers w:val="0"/>
        <w:spacing w:line="315" w:lineRule="atLeast"/>
      </w:pPr>
      <w:r>
        <w:rPr>
          <w:rStyle w:val="5"/>
          <w:rFonts w:hint="default" w:ascii="Arial" w:hAnsi="Arial" w:cs="Arial"/>
          <w:color w:val="212122"/>
          <w:spacing w:val="15"/>
        </w:rPr>
        <w:t xml:space="preserve">CAN 接口: </w:t>
      </w:r>
      <w:r>
        <w:rPr>
          <w:rFonts w:hint="default" w:ascii="Arial" w:hAnsi="Arial" w:cs="Arial"/>
          <w:color w:val="212122"/>
          <w:spacing w:val="15"/>
        </w:rPr>
        <w:t>CAN接口支持多主机并行通信、具有较强的抗干扰能力和实时性</w:t>
      </w:r>
    </w:p>
    <w:tbl>
      <w:tblPr>
        <w:tblStyle w:val="3"/>
        <w:tblW w:w="50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165"/>
        <w:gridCol w:w="1490"/>
        <w:gridCol w:w="1620"/>
        <w:gridCol w:w="1854"/>
        <w:gridCol w:w="1177"/>
      </w:tblGrid>
      <w:tr w14:paraId="6415F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5" w:hRule="atLeast"/>
          <w:tblCellSpacing w:w="0" w:type="dxa"/>
        </w:trPr>
        <w:tc>
          <w:tcPr>
            <w:tcW w:w="0" w:type="auto"/>
            <w:shd w:val="clear" w:color="auto" w:fill="auto"/>
            <w:vAlign w:val="center"/>
          </w:tcPr>
          <w:p w14:paraId="47D19D86">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型号</w:t>
            </w:r>
          </w:p>
        </w:tc>
        <w:tc>
          <w:tcPr>
            <w:tcW w:w="0" w:type="auto"/>
            <w:shd w:val="clear" w:color="auto" w:fill="auto"/>
            <w:vAlign w:val="center"/>
          </w:tcPr>
          <w:p w14:paraId="07E9FA1B">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器件类型</w:t>
            </w:r>
          </w:p>
        </w:tc>
        <w:tc>
          <w:tcPr>
            <w:tcW w:w="0" w:type="auto"/>
            <w:shd w:val="clear" w:color="auto" w:fill="auto"/>
            <w:vAlign w:val="center"/>
          </w:tcPr>
          <w:p w14:paraId="35D00C77">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使用位置</w:t>
            </w:r>
          </w:p>
        </w:tc>
        <w:tc>
          <w:tcPr>
            <w:tcW w:w="0" w:type="auto"/>
            <w:shd w:val="clear" w:color="auto" w:fill="auto"/>
            <w:vAlign w:val="center"/>
          </w:tcPr>
          <w:p w14:paraId="43152588">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作用</w:t>
            </w:r>
          </w:p>
        </w:tc>
        <w:tc>
          <w:tcPr>
            <w:tcW w:w="0" w:type="auto"/>
            <w:shd w:val="clear" w:color="auto" w:fill="auto"/>
            <w:vAlign w:val="center"/>
          </w:tcPr>
          <w:p w14:paraId="18D9B233">
            <w:pPr>
              <w:pStyle w:val="2"/>
              <w:keepNext w:val="0"/>
              <w:keepLines w:val="0"/>
              <w:widowControl/>
              <w:suppressLineNumbers w:val="0"/>
              <w:spacing w:line="210" w:lineRule="atLeast"/>
              <w:jc w:val="center"/>
            </w:pPr>
            <w:r>
              <w:rPr>
                <w:rStyle w:val="5"/>
                <w:rFonts w:hint="default" w:ascii="Arial" w:hAnsi="Arial" w:cs="Arial"/>
                <w:color w:val="212122"/>
                <w:spacing w:val="0"/>
                <w:sz w:val="18"/>
                <w:szCs w:val="18"/>
              </w:rPr>
              <w:t>封装</w:t>
            </w:r>
          </w:p>
        </w:tc>
      </w:tr>
      <w:tr w14:paraId="3EEB3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0" w:type="auto"/>
            <w:shd w:val="clear" w:color="auto" w:fill="auto"/>
            <w:vAlign w:val="center"/>
          </w:tcPr>
          <w:p w14:paraId="28D9D476">
            <w:pPr>
              <w:pStyle w:val="2"/>
              <w:keepNext w:val="0"/>
              <w:keepLines w:val="0"/>
              <w:widowControl/>
              <w:suppressLineNumbers w:val="0"/>
              <w:spacing w:line="210" w:lineRule="atLeast"/>
              <w:jc w:val="center"/>
            </w:pPr>
            <w:r>
              <w:rPr>
                <w:rFonts w:hint="default" w:ascii="Arial" w:hAnsi="Arial" w:cs="Arial"/>
                <w:color w:val="212122"/>
                <w:spacing w:val="0"/>
                <w:sz w:val="18"/>
                <w:szCs w:val="18"/>
              </w:rPr>
              <w:t>ESD24VAPB</w:t>
            </w:r>
          </w:p>
        </w:tc>
        <w:tc>
          <w:tcPr>
            <w:tcW w:w="0" w:type="auto"/>
            <w:shd w:val="clear" w:color="auto" w:fill="auto"/>
            <w:vAlign w:val="center"/>
          </w:tcPr>
          <w:p w14:paraId="46A81ADE">
            <w:pPr>
              <w:pStyle w:val="2"/>
              <w:keepNext w:val="0"/>
              <w:keepLines w:val="0"/>
              <w:widowControl/>
              <w:suppressLineNumbers w:val="0"/>
              <w:spacing w:line="210" w:lineRule="atLeast"/>
              <w:jc w:val="center"/>
            </w:pPr>
            <w:r>
              <w:rPr>
                <w:rFonts w:hint="default" w:ascii="Arial" w:hAnsi="Arial" w:cs="Arial"/>
                <w:color w:val="212122"/>
                <w:spacing w:val="0"/>
                <w:sz w:val="18"/>
                <w:szCs w:val="18"/>
              </w:rPr>
              <w:t>ESD</w:t>
            </w:r>
          </w:p>
        </w:tc>
        <w:tc>
          <w:tcPr>
            <w:tcW w:w="0" w:type="auto"/>
            <w:shd w:val="clear" w:color="auto" w:fill="auto"/>
            <w:vAlign w:val="center"/>
          </w:tcPr>
          <w:p w14:paraId="7B26FF4D">
            <w:pPr>
              <w:pStyle w:val="2"/>
              <w:keepNext w:val="0"/>
              <w:keepLines w:val="0"/>
              <w:widowControl/>
              <w:suppressLineNumbers w:val="0"/>
              <w:spacing w:line="210" w:lineRule="atLeast"/>
              <w:jc w:val="center"/>
            </w:pPr>
            <w:r>
              <w:rPr>
                <w:rFonts w:hint="default" w:ascii="Arial" w:hAnsi="Arial" w:cs="Arial"/>
                <w:color w:val="212122"/>
                <w:spacing w:val="0"/>
                <w:sz w:val="18"/>
                <w:szCs w:val="18"/>
              </w:rPr>
              <w:t>CAN接口</w:t>
            </w:r>
          </w:p>
        </w:tc>
        <w:tc>
          <w:tcPr>
            <w:tcW w:w="0" w:type="auto"/>
            <w:shd w:val="clear" w:color="auto" w:fill="auto"/>
            <w:vAlign w:val="center"/>
          </w:tcPr>
          <w:p w14:paraId="2F0F5EE5">
            <w:pPr>
              <w:pStyle w:val="2"/>
              <w:keepNext w:val="0"/>
              <w:keepLines w:val="0"/>
              <w:widowControl/>
              <w:suppressLineNumbers w:val="0"/>
              <w:spacing w:line="210" w:lineRule="atLeast"/>
              <w:jc w:val="center"/>
            </w:pPr>
            <w:r>
              <w:rPr>
                <w:rFonts w:hint="default" w:ascii="Arial" w:hAnsi="Arial" w:cs="Arial"/>
                <w:color w:val="212122"/>
                <w:spacing w:val="0"/>
                <w:sz w:val="18"/>
                <w:szCs w:val="18"/>
              </w:rPr>
              <w:t>浪涌、静电</w:t>
            </w:r>
          </w:p>
        </w:tc>
        <w:tc>
          <w:tcPr>
            <w:tcW w:w="0" w:type="auto"/>
            <w:shd w:val="clear" w:color="auto" w:fill="auto"/>
            <w:vAlign w:val="center"/>
          </w:tcPr>
          <w:p w14:paraId="3FCD2080">
            <w:pPr>
              <w:pStyle w:val="2"/>
              <w:keepNext w:val="0"/>
              <w:keepLines w:val="0"/>
              <w:widowControl/>
              <w:suppressLineNumbers w:val="0"/>
              <w:spacing w:line="210" w:lineRule="atLeast"/>
              <w:jc w:val="center"/>
            </w:pPr>
            <w:r>
              <w:rPr>
                <w:rFonts w:hint="default" w:ascii="Arial" w:hAnsi="Arial" w:cs="Arial"/>
                <w:color w:val="212122"/>
                <w:spacing w:val="0"/>
                <w:sz w:val="18"/>
                <w:szCs w:val="18"/>
              </w:rPr>
              <w:t>SOT23</w:t>
            </w:r>
          </w:p>
        </w:tc>
      </w:tr>
      <w:tr w14:paraId="1ABBB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blCellSpacing w:w="0" w:type="dxa"/>
        </w:trPr>
        <w:tc>
          <w:tcPr>
            <w:tcW w:w="0" w:type="auto"/>
            <w:shd w:val="clear" w:color="auto" w:fill="auto"/>
            <w:vAlign w:val="center"/>
          </w:tcPr>
          <w:p w14:paraId="00D2ED2A">
            <w:pPr>
              <w:pStyle w:val="2"/>
              <w:keepNext w:val="0"/>
              <w:keepLines w:val="0"/>
              <w:widowControl/>
              <w:suppressLineNumbers w:val="0"/>
              <w:spacing w:line="210" w:lineRule="atLeast"/>
              <w:jc w:val="center"/>
            </w:pPr>
            <w:r>
              <w:rPr>
                <w:rFonts w:hint="default" w:ascii="Arial" w:hAnsi="Arial" w:cs="Arial"/>
                <w:color w:val="212122"/>
                <w:spacing w:val="0"/>
                <w:sz w:val="18"/>
                <w:szCs w:val="18"/>
              </w:rPr>
              <w:t>CML4532A/</w:t>
            </w:r>
          </w:p>
          <w:p w14:paraId="0BE3D680">
            <w:pPr>
              <w:pStyle w:val="2"/>
              <w:keepNext w:val="0"/>
              <w:keepLines w:val="0"/>
              <w:widowControl/>
              <w:suppressLineNumbers w:val="0"/>
              <w:spacing w:line="210" w:lineRule="atLeast"/>
              <w:jc w:val="center"/>
            </w:pPr>
            <w:r>
              <w:rPr>
                <w:rFonts w:hint="default" w:ascii="Arial" w:hAnsi="Arial" w:cs="Arial"/>
                <w:color w:val="212122"/>
                <w:spacing w:val="0"/>
                <w:sz w:val="18"/>
                <w:szCs w:val="18"/>
              </w:rPr>
              <w:t>CML3225A</w:t>
            </w:r>
          </w:p>
        </w:tc>
        <w:tc>
          <w:tcPr>
            <w:tcW w:w="0" w:type="auto"/>
            <w:shd w:val="clear" w:color="auto" w:fill="auto"/>
            <w:vAlign w:val="center"/>
          </w:tcPr>
          <w:p w14:paraId="6224A4EF">
            <w:pPr>
              <w:pStyle w:val="2"/>
              <w:keepNext w:val="0"/>
              <w:keepLines w:val="0"/>
              <w:widowControl/>
              <w:suppressLineNumbers w:val="0"/>
              <w:spacing w:line="210" w:lineRule="atLeast"/>
              <w:jc w:val="center"/>
            </w:pPr>
            <w:r>
              <w:rPr>
                <w:rFonts w:hint="default" w:ascii="Arial" w:hAnsi="Arial" w:cs="Arial"/>
                <w:color w:val="212122"/>
                <w:spacing w:val="0"/>
                <w:sz w:val="18"/>
                <w:szCs w:val="18"/>
              </w:rPr>
              <w:t>EMI</w:t>
            </w:r>
          </w:p>
        </w:tc>
        <w:tc>
          <w:tcPr>
            <w:tcW w:w="0" w:type="auto"/>
            <w:shd w:val="clear" w:color="auto" w:fill="auto"/>
            <w:vAlign w:val="center"/>
          </w:tcPr>
          <w:p w14:paraId="28386282">
            <w:pPr>
              <w:pStyle w:val="2"/>
              <w:keepNext w:val="0"/>
              <w:keepLines w:val="0"/>
              <w:widowControl/>
              <w:suppressLineNumbers w:val="0"/>
              <w:spacing w:line="210" w:lineRule="atLeast"/>
              <w:jc w:val="center"/>
            </w:pPr>
            <w:r>
              <w:rPr>
                <w:rFonts w:hint="default" w:ascii="Arial" w:hAnsi="Arial" w:cs="Arial"/>
                <w:color w:val="212122"/>
                <w:spacing w:val="0"/>
                <w:sz w:val="18"/>
                <w:szCs w:val="18"/>
              </w:rPr>
              <w:t>CAN接口</w:t>
            </w:r>
          </w:p>
        </w:tc>
        <w:tc>
          <w:tcPr>
            <w:tcW w:w="0" w:type="auto"/>
            <w:shd w:val="clear" w:color="auto" w:fill="auto"/>
            <w:vAlign w:val="center"/>
          </w:tcPr>
          <w:p w14:paraId="07015047">
            <w:pPr>
              <w:pStyle w:val="2"/>
              <w:keepNext w:val="0"/>
              <w:keepLines w:val="0"/>
              <w:widowControl/>
              <w:suppressLineNumbers w:val="0"/>
              <w:spacing w:line="210" w:lineRule="atLeast"/>
              <w:jc w:val="center"/>
            </w:pPr>
            <w:r>
              <w:rPr>
                <w:rFonts w:hint="default" w:ascii="Arial" w:hAnsi="Arial" w:cs="Arial"/>
                <w:color w:val="212122"/>
                <w:spacing w:val="0"/>
                <w:sz w:val="18"/>
                <w:szCs w:val="18"/>
              </w:rPr>
              <w:t>共模抑制</w:t>
            </w:r>
          </w:p>
        </w:tc>
        <w:tc>
          <w:tcPr>
            <w:tcW w:w="0" w:type="auto"/>
            <w:shd w:val="clear" w:color="auto" w:fill="auto"/>
            <w:vAlign w:val="center"/>
          </w:tcPr>
          <w:p w14:paraId="51094876">
            <w:pPr>
              <w:pStyle w:val="2"/>
              <w:keepNext w:val="0"/>
              <w:keepLines w:val="0"/>
              <w:widowControl/>
              <w:suppressLineNumbers w:val="0"/>
              <w:spacing w:line="210" w:lineRule="atLeast"/>
              <w:jc w:val="center"/>
            </w:pPr>
            <w:r>
              <w:rPr>
                <w:rFonts w:hint="default" w:ascii="Arial" w:hAnsi="Arial" w:cs="Arial"/>
                <w:color w:val="212122"/>
                <w:spacing w:val="0"/>
                <w:sz w:val="18"/>
                <w:szCs w:val="18"/>
              </w:rPr>
              <w:t>SMD</w:t>
            </w:r>
          </w:p>
        </w:tc>
      </w:tr>
    </w:tbl>
    <w:p w14:paraId="3D4B620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END</w:t>
      </w:r>
    </w:p>
    <w:p w14:paraId="4A1B9A8B">
      <w:pPr>
        <w:pStyle w:val="2"/>
        <w:keepNext w:val="0"/>
        <w:keepLines w:val="0"/>
        <w:widowControl/>
        <w:suppressLineNumbers w:val="0"/>
        <w:jc w:val="center"/>
      </w:pPr>
      <w:r>
        <w:rPr>
          <w:vertAlign w:val="baseline"/>
        </w:rPr>
        <w:drawing>
          <wp:inline distT="0" distB="0" distL="114300" distR="114300">
            <wp:extent cx="5266690" cy="5266690"/>
            <wp:effectExtent l="0" t="0" r="10160" b="10160"/>
            <wp:docPr id="1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IMG_279"/>
                    <pic:cNvPicPr>
                      <a:picLocks noChangeAspect="1"/>
                    </pic:cNvPicPr>
                  </pic:nvPicPr>
                  <pic:blipFill>
                    <a:blip r:embed="rId21"/>
                    <a:stretch>
                      <a:fillRect/>
                    </a:stretch>
                  </pic:blipFill>
                  <pic:spPr>
                    <a:xfrm>
                      <a:off x="0" y="0"/>
                      <a:ext cx="5266690" cy="5266690"/>
                    </a:xfrm>
                    <a:prstGeom prst="rect">
                      <a:avLst/>
                    </a:prstGeom>
                    <a:noFill/>
                    <a:ln w="9525">
                      <a:noFill/>
                    </a:ln>
                  </pic:spPr>
                </pic:pic>
              </a:graphicData>
            </a:graphic>
          </wp:inline>
        </w:drawing>
      </w:r>
    </w:p>
    <w:p w14:paraId="768A26EF">
      <w:pPr>
        <w:pStyle w:val="2"/>
        <w:keepNext w:val="0"/>
        <w:keepLines w:val="0"/>
        <w:widowControl/>
        <w:suppressLineNumbers w:val="0"/>
      </w:pPr>
      <w:r>
        <w:rPr>
          <w:color w:val="244061"/>
          <w:sz w:val="30"/>
          <w:szCs w:val="30"/>
        </w:rPr>
        <w:t>音特电子</w:t>
      </w:r>
    </w:p>
    <w:p w14:paraId="0B5BEDA6">
      <w:pPr>
        <w:keepNext w:val="0"/>
        <w:keepLines w:val="0"/>
        <w:widowControl/>
        <w:suppressLineNumbers w:val="0"/>
        <w:jc w:val="left"/>
      </w:pPr>
      <w:r>
        <w:rPr>
          <w:rStyle w:val="5"/>
          <w:rFonts w:ascii="宋体" w:hAnsi="宋体" w:eastAsia="宋体" w:cs="宋体"/>
          <w:kern w:val="0"/>
          <w:sz w:val="24"/>
          <w:szCs w:val="24"/>
          <w:lang w:val="en-US" w:eastAsia="zh-CN" w:bidi="ar"/>
        </w:rPr>
        <w:t>EMC器件制造商 | 解决方案服务商</w:t>
      </w:r>
    </w:p>
    <w:p w14:paraId="7BF3F87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644F3A"/>
    <w:rsid w:val="007076F2"/>
    <w:rsid w:val="62644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GIF"/><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1998</Words>
  <Characters>2225</Characters>
  <Lines>0</Lines>
  <Paragraphs>0</Paragraphs>
  <TotalTime>1</TotalTime>
  <ScaleCrop>false</ScaleCrop>
  <LinksUpToDate>false</LinksUpToDate>
  <CharactersWithSpaces>2270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2025-10-14T07:26:00Z</dcterms:created>
  <dc:creator>寒雪</dc:creator>
  <cp:lastModifiedBy>寒雪</cp:lastModifiedBy>
  <dcterms:modified xsi:type="dcterms:W3CDTF">2025-10-17T07:21:52Z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60C2920832054BEC85E9E24BEBFC287E_11</vt:lpwstr>
  </property>
  <property fmtid="{D5CDD505-2E9C-101B-9397-08002B2CF9AE}" pid="4" name="KSOTemplateDocerSaveRecord">
    <vt:lpwstr>eyJoZGlkIjoiYjI1NzVlYzIyODcyYjg1ZmQ1YzI3NzgxNzAwNTI1OTkiLCJ1c2VySWQiOiI2OTI1MDUzNjcifQ==</vt:lpwstr>
  </property>
</Properties>
</file>